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73DDF" w14:textId="22D74924" w:rsidR="00FD774C" w:rsidRPr="00F11FCF" w:rsidRDefault="00000000" w:rsidP="00F11FCF">
      <w:pPr>
        <w:jc w:val="center"/>
        <w:rPr>
          <w:rFonts w:ascii="Roboto Light" w:eastAsia="Roboto Light" w:hAnsi="Roboto Light" w:cs="Roboto Light"/>
          <w:b/>
        </w:rPr>
      </w:pPr>
      <w:r>
        <w:rPr>
          <w:rFonts w:ascii="Roboto Light" w:eastAsia="Roboto Light" w:hAnsi="Roboto Light" w:cs="Roboto Light"/>
          <w:b/>
        </w:rPr>
        <w:t>Responses to ICASA Public Consultations</w:t>
      </w:r>
    </w:p>
    <w:tbl>
      <w:tblPr>
        <w:tblStyle w:val="a"/>
        <w:tblW w:w="9340" w:type="dxa"/>
        <w:tblLayout w:type="fixed"/>
        <w:tblLook w:val="0400" w:firstRow="0" w:lastRow="0" w:firstColumn="0" w:lastColumn="0" w:noHBand="0" w:noVBand="1"/>
      </w:tblPr>
      <w:tblGrid>
        <w:gridCol w:w="2012"/>
        <w:gridCol w:w="7328"/>
      </w:tblGrid>
      <w:tr w:rsidR="00FD774C" w14:paraId="2BB812E7" w14:textId="77777777">
        <w:trPr>
          <w:trHeight w:val="510"/>
        </w:trPr>
        <w:tc>
          <w:tcPr>
            <w:tcW w:w="2012" w:type="dxa"/>
            <w:tcBorders>
              <w:top w:val="single" w:sz="8" w:space="0" w:color="000000"/>
              <w:left w:val="single" w:sz="8" w:space="0" w:color="000000"/>
              <w:bottom w:val="single" w:sz="8" w:space="0" w:color="000000"/>
              <w:right w:val="single" w:sz="8" w:space="0" w:color="000000"/>
            </w:tcBorders>
            <w:shd w:val="clear" w:color="auto" w:fill="153D63"/>
            <w:tcMar>
              <w:top w:w="100" w:type="dxa"/>
              <w:left w:w="100" w:type="dxa"/>
              <w:bottom w:w="100" w:type="dxa"/>
              <w:right w:w="100" w:type="dxa"/>
            </w:tcMar>
          </w:tcPr>
          <w:p w14:paraId="7D5D5545" w14:textId="77777777" w:rsidR="00FD774C" w:rsidRDefault="00000000">
            <w:pPr>
              <w:rPr>
                <w:rFonts w:ascii="Roboto Light" w:eastAsia="Roboto Light" w:hAnsi="Roboto Light" w:cs="Roboto Light"/>
                <w:color w:val="FFFFFF"/>
                <w:sz w:val="20"/>
                <w:szCs w:val="20"/>
              </w:rPr>
            </w:pPr>
            <w:r>
              <w:rPr>
                <w:rFonts w:ascii="Roboto Light" w:eastAsia="Roboto Light" w:hAnsi="Roboto Light" w:cs="Roboto Light"/>
                <w:b/>
                <w:color w:val="FFFFFF"/>
                <w:sz w:val="20"/>
                <w:szCs w:val="20"/>
              </w:rPr>
              <w:t>Public Consultations Subject</w:t>
            </w:r>
          </w:p>
        </w:tc>
        <w:tc>
          <w:tcPr>
            <w:tcW w:w="7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404A"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The Proposed New Licensing Framework for Satellite Services</w:t>
            </w:r>
          </w:p>
        </w:tc>
      </w:tr>
      <w:tr w:rsidR="00FD774C" w14:paraId="4C6642B3" w14:textId="77777777">
        <w:trPr>
          <w:trHeight w:val="384"/>
        </w:trPr>
        <w:tc>
          <w:tcPr>
            <w:tcW w:w="2012" w:type="dxa"/>
            <w:tcBorders>
              <w:top w:val="single" w:sz="8" w:space="0" w:color="000000"/>
              <w:left w:val="single" w:sz="8" w:space="0" w:color="000000"/>
              <w:bottom w:val="single" w:sz="8" w:space="0" w:color="000000"/>
              <w:right w:val="single" w:sz="8" w:space="0" w:color="000000"/>
            </w:tcBorders>
            <w:shd w:val="clear" w:color="auto" w:fill="153D63"/>
            <w:tcMar>
              <w:top w:w="100" w:type="dxa"/>
              <w:left w:w="100" w:type="dxa"/>
              <w:bottom w:w="100" w:type="dxa"/>
              <w:right w:w="100" w:type="dxa"/>
            </w:tcMar>
          </w:tcPr>
          <w:p w14:paraId="4FB9EE5A" w14:textId="77777777" w:rsidR="00FD774C" w:rsidRDefault="00000000">
            <w:pPr>
              <w:rPr>
                <w:rFonts w:ascii="Roboto Light" w:eastAsia="Roboto Light" w:hAnsi="Roboto Light" w:cs="Roboto Light"/>
                <w:color w:val="FFFFFF"/>
                <w:sz w:val="20"/>
                <w:szCs w:val="20"/>
              </w:rPr>
            </w:pPr>
            <w:r>
              <w:rPr>
                <w:rFonts w:ascii="Roboto Light" w:eastAsia="Roboto Light" w:hAnsi="Roboto Light" w:cs="Roboto Light"/>
                <w:b/>
                <w:color w:val="FFFFFF"/>
                <w:sz w:val="20"/>
                <w:szCs w:val="20"/>
              </w:rPr>
              <w:t>Organization</w:t>
            </w:r>
          </w:p>
        </w:tc>
        <w:tc>
          <w:tcPr>
            <w:tcW w:w="7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9CE26"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Skylo Technologies, Inc.</w:t>
            </w:r>
          </w:p>
        </w:tc>
      </w:tr>
      <w:tr w:rsidR="00FD774C" w14:paraId="3557A815" w14:textId="77777777">
        <w:tc>
          <w:tcPr>
            <w:tcW w:w="2012" w:type="dxa"/>
            <w:tcBorders>
              <w:top w:val="single" w:sz="8" w:space="0" w:color="000000"/>
              <w:left w:val="single" w:sz="8" w:space="0" w:color="000000"/>
              <w:bottom w:val="single" w:sz="8" w:space="0" w:color="000000"/>
              <w:right w:val="single" w:sz="8" w:space="0" w:color="000000"/>
            </w:tcBorders>
            <w:shd w:val="clear" w:color="auto" w:fill="153D63"/>
            <w:tcMar>
              <w:top w:w="100" w:type="dxa"/>
              <w:left w:w="100" w:type="dxa"/>
              <w:bottom w:w="100" w:type="dxa"/>
              <w:right w:w="100" w:type="dxa"/>
            </w:tcMar>
          </w:tcPr>
          <w:p w14:paraId="0A199E07" w14:textId="77777777" w:rsidR="00FD774C" w:rsidRDefault="00000000">
            <w:pPr>
              <w:rPr>
                <w:rFonts w:ascii="Roboto Light" w:eastAsia="Roboto Light" w:hAnsi="Roboto Light" w:cs="Roboto Light"/>
                <w:color w:val="FFFFFF"/>
                <w:sz w:val="20"/>
                <w:szCs w:val="20"/>
              </w:rPr>
            </w:pPr>
            <w:r>
              <w:rPr>
                <w:rFonts w:ascii="Roboto Light" w:eastAsia="Roboto Light" w:hAnsi="Roboto Light" w:cs="Roboto Light"/>
                <w:b/>
                <w:color w:val="FFFFFF"/>
                <w:sz w:val="20"/>
                <w:szCs w:val="20"/>
              </w:rPr>
              <w:t>Email address</w:t>
            </w:r>
          </w:p>
        </w:tc>
        <w:tc>
          <w:tcPr>
            <w:tcW w:w="7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03395" w14:textId="77777777" w:rsidR="00FD774C" w:rsidRDefault="00FD774C">
            <w:pPr>
              <w:rPr>
                <w:rFonts w:ascii="Roboto Light" w:eastAsia="Roboto Light" w:hAnsi="Roboto Light" w:cs="Roboto Light"/>
                <w:sz w:val="20"/>
                <w:szCs w:val="20"/>
              </w:rPr>
            </w:pPr>
            <w:hyperlink r:id="rId6">
              <w:r>
                <w:rPr>
                  <w:rFonts w:ascii="Roboto Light" w:eastAsia="Roboto Light" w:hAnsi="Roboto Light" w:cs="Roboto Light"/>
                  <w:color w:val="467886"/>
                  <w:sz w:val="20"/>
                  <w:szCs w:val="20"/>
                  <w:u w:val="single"/>
                </w:rPr>
                <w:t>regulatory@skylo.tech</w:t>
              </w:r>
            </w:hyperlink>
          </w:p>
        </w:tc>
      </w:tr>
      <w:tr w:rsidR="00FD774C" w14:paraId="7767A1A4" w14:textId="77777777">
        <w:tc>
          <w:tcPr>
            <w:tcW w:w="2012" w:type="dxa"/>
            <w:tcBorders>
              <w:top w:val="single" w:sz="8" w:space="0" w:color="000000"/>
              <w:left w:val="single" w:sz="8" w:space="0" w:color="000000"/>
              <w:bottom w:val="single" w:sz="8" w:space="0" w:color="000000"/>
              <w:right w:val="single" w:sz="8" w:space="0" w:color="000000"/>
            </w:tcBorders>
            <w:shd w:val="clear" w:color="auto" w:fill="153D63"/>
            <w:tcMar>
              <w:top w:w="100" w:type="dxa"/>
              <w:left w:w="100" w:type="dxa"/>
              <w:bottom w:w="100" w:type="dxa"/>
              <w:right w:w="100" w:type="dxa"/>
            </w:tcMar>
          </w:tcPr>
          <w:p w14:paraId="7ED7F602" w14:textId="77777777" w:rsidR="00FD774C" w:rsidRDefault="00000000">
            <w:pPr>
              <w:rPr>
                <w:rFonts w:ascii="Roboto Light" w:eastAsia="Roboto Light" w:hAnsi="Roboto Light" w:cs="Roboto Light"/>
                <w:color w:val="FFFFFF"/>
                <w:sz w:val="20"/>
                <w:szCs w:val="20"/>
              </w:rPr>
            </w:pPr>
            <w:r>
              <w:rPr>
                <w:rFonts w:ascii="Roboto Light" w:eastAsia="Roboto Light" w:hAnsi="Roboto Light" w:cs="Roboto Light"/>
                <w:b/>
                <w:color w:val="FFFFFF"/>
                <w:sz w:val="20"/>
                <w:szCs w:val="20"/>
              </w:rPr>
              <w:t>Phone Number</w:t>
            </w:r>
          </w:p>
        </w:tc>
        <w:tc>
          <w:tcPr>
            <w:tcW w:w="7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59666"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+1 650 459 0164</w:t>
            </w:r>
          </w:p>
        </w:tc>
      </w:tr>
      <w:tr w:rsidR="00FD774C" w14:paraId="17133659" w14:textId="77777777">
        <w:tc>
          <w:tcPr>
            <w:tcW w:w="2012" w:type="dxa"/>
            <w:tcBorders>
              <w:top w:val="single" w:sz="8" w:space="0" w:color="000000"/>
              <w:left w:val="single" w:sz="8" w:space="0" w:color="000000"/>
              <w:bottom w:val="single" w:sz="8" w:space="0" w:color="000000"/>
              <w:right w:val="single" w:sz="8" w:space="0" w:color="000000"/>
            </w:tcBorders>
            <w:shd w:val="clear" w:color="auto" w:fill="153D63"/>
            <w:tcMar>
              <w:top w:w="100" w:type="dxa"/>
              <w:left w:w="100" w:type="dxa"/>
              <w:bottom w:w="100" w:type="dxa"/>
              <w:right w:w="100" w:type="dxa"/>
            </w:tcMar>
          </w:tcPr>
          <w:p w14:paraId="5DB10192" w14:textId="77777777" w:rsidR="00FD774C" w:rsidRDefault="00000000">
            <w:pPr>
              <w:rPr>
                <w:rFonts w:ascii="Roboto Light" w:eastAsia="Roboto Light" w:hAnsi="Roboto Light" w:cs="Roboto Light"/>
                <w:color w:val="FFFFFF"/>
                <w:sz w:val="20"/>
                <w:szCs w:val="20"/>
              </w:rPr>
            </w:pPr>
            <w:r>
              <w:rPr>
                <w:rFonts w:ascii="Roboto Light" w:eastAsia="Roboto Light" w:hAnsi="Roboto Light" w:cs="Roboto Light"/>
                <w:b/>
                <w:color w:val="FFFFFF"/>
                <w:sz w:val="20"/>
                <w:szCs w:val="20"/>
              </w:rPr>
              <w:t>Representatives</w:t>
            </w:r>
          </w:p>
        </w:tc>
        <w:tc>
          <w:tcPr>
            <w:tcW w:w="7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61494"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Mindel De La Torre</w:t>
            </w:r>
          </w:p>
          <w:p w14:paraId="1AA06A1A"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Natcha </w:t>
            </w:r>
            <w:proofErr w:type="spellStart"/>
            <w:r>
              <w:rPr>
                <w:rFonts w:ascii="Roboto Light" w:eastAsia="Roboto Light" w:hAnsi="Roboto Light" w:cs="Roboto Light"/>
                <w:sz w:val="20"/>
                <w:szCs w:val="20"/>
              </w:rPr>
              <w:t>Techachainiran</w:t>
            </w:r>
            <w:proofErr w:type="spellEnd"/>
          </w:p>
        </w:tc>
      </w:tr>
    </w:tbl>
    <w:p w14:paraId="7C6CD93E" w14:textId="77777777" w:rsidR="00FD774C" w:rsidRDefault="00FD774C">
      <w:pPr>
        <w:spacing w:after="0" w:line="276" w:lineRule="auto"/>
        <w:rPr>
          <w:rFonts w:ascii="Roboto" w:eastAsia="Roboto" w:hAnsi="Roboto" w:cs="Roboto"/>
          <w:b/>
          <w:sz w:val="22"/>
          <w:szCs w:val="22"/>
        </w:rPr>
      </w:pPr>
    </w:p>
    <w:p w14:paraId="76D721D2" w14:textId="77777777" w:rsidR="00FD774C" w:rsidRDefault="00000000">
      <w:pPr>
        <w:spacing w:after="0" w:line="276" w:lineRule="auto"/>
      </w:pPr>
      <w:r>
        <w:rPr>
          <w:rFonts w:ascii="Roboto" w:eastAsia="Roboto" w:hAnsi="Roboto" w:cs="Roboto"/>
          <w:b/>
          <w:sz w:val="22"/>
          <w:szCs w:val="22"/>
        </w:rPr>
        <w:t>Responses and Comments:</w:t>
      </w:r>
    </w:p>
    <w:tbl>
      <w:tblPr>
        <w:tblStyle w:val="a0"/>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295"/>
        <w:gridCol w:w="5660"/>
      </w:tblGrid>
      <w:tr w:rsidR="00FD774C" w14:paraId="232353FA" w14:textId="77777777" w:rsidTr="00F11FCF">
        <w:trPr>
          <w:tblHeader/>
        </w:trPr>
        <w:tc>
          <w:tcPr>
            <w:tcW w:w="570" w:type="dxa"/>
            <w:shd w:val="clear" w:color="auto" w:fill="153D63"/>
          </w:tcPr>
          <w:p w14:paraId="363970B2" w14:textId="77777777" w:rsidR="00FD774C" w:rsidRDefault="00000000">
            <w:pPr>
              <w:jc w:val="center"/>
              <w:rPr>
                <w:rFonts w:ascii="Roboto Light" w:eastAsia="Roboto Light" w:hAnsi="Roboto Light" w:cs="Roboto Light"/>
                <w:b/>
                <w:color w:val="FFFFFF"/>
                <w:sz w:val="20"/>
                <w:szCs w:val="20"/>
              </w:rPr>
            </w:pPr>
            <w:r>
              <w:rPr>
                <w:rFonts w:ascii="Roboto Light" w:eastAsia="Roboto Light" w:hAnsi="Roboto Light" w:cs="Roboto Light"/>
                <w:b/>
                <w:color w:val="FFFFFF"/>
                <w:sz w:val="20"/>
                <w:szCs w:val="20"/>
              </w:rPr>
              <w:t>No.</w:t>
            </w:r>
          </w:p>
        </w:tc>
        <w:tc>
          <w:tcPr>
            <w:tcW w:w="3295" w:type="dxa"/>
            <w:shd w:val="clear" w:color="auto" w:fill="153D63"/>
          </w:tcPr>
          <w:p w14:paraId="54A53CCC" w14:textId="77777777" w:rsidR="00FD774C" w:rsidRDefault="00000000">
            <w:pPr>
              <w:jc w:val="center"/>
              <w:rPr>
                <w:rFonts w:ascii="Roboto Light" w:eastAsia="Roboto Light" w:hAnsi="Roboto Light" w:cs="Roboto Light"/>
                <w:b/>
                <w:color w:val="FFFFFF"/>
                <w:sz w:val="20"/>
                <w:szCs w:val="20"/>
              </w:rPr>
            </w:pPr>
            <w:r>
              <w:rPr>
                <w:rFonts w:ascii="Roboto Light" w:eastAsia="Roboto Light" w:hAnsi="Roboto Light" w:cs="Roboto Light"/>
                <w:b/>
                <w:color w:val="FFFFFF"/>
                <w:sz w:val="20"/>
                <w:szCs w:val="20"/>
              </w:rPr>
              <w:t>Question</w:t>
            </w:r>
          </w:p>
        </w:tc>
        <w:tc>
          <w:tcPr>
            <w:tcW w:w="5660" w:type="dxa"/>
            <w:shd w:val="clear" w:color="auto" w:fill="153D63"/>
          </w:tcPr>
          <w:p w14:paraId="621A39AC" w14:textId="77777777" w:rsidR="00FD774C" w:rsidRDefault="00000000">
            <w:pPr>
              <w:jc w:val="center"/>
              <w:rPr>
                <w:rFonts w:ascii="Roboto Light" w:eastAsia="Roboto Light" w:hAnsi="Roboto Light" w:cs="Roboto Light"/>
                <w:b/>
                <w:color w:val="FFFFFF"/>
                <w:sz w:val="20"/>
                <w:szCs w:val="20"/>
              </w:rPr>
            </w:pPr>
            <w:r>
              <w:rPr>
                <w:rFonts w:ascii="Roboto Light" w:eastAsia="Roboto Light" w:hAnsi="Roboto Light" w:cs="Roboto Light"/>
                <w:b/>
                <w:color w:val="FFFFFF"/>
                <w:sz w:val="20"/>
                <w:szCs w:val="20"/>
              </w:rPr>
              <w:t>Response</w:t>
            </w:r>
          </w:p>
        </w:tc>
      </w:tr>
      <w:tr w:rsidR="00FD774C" w14:paraId="0EAFDDD8" w14:textId="77777777" w:rsidTr="00F11FCF">
        <w:tc>
          <w:tcPr>
            <w:tcW w:w="570" w:type="dxa"/>
          </w:tcPr>
          <w:p w14:paraId="1D596528"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Q1</w:t>
            </w:r>
          </w:p>
        </w:tc>
        <w:tc>
          <w:tcPr>
            <w:tcW w:w="3295" w:type="dxa"/>
          </w:tcPr>
          <w:p w14:paraId="098A6003"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These are the policy principles from the ATU that ICASA seeks to align with.</w:t>
            </w:r>
          </w:p>
          <w:p w14:paraId="1C921A93"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Kindly provide comment(s) on the proposed policy principles and any further recommendations listed in the above section?</w:t>
            </w:r>
          </w:p>
        </w:tc>
        <w:tc>
          <w:tcPr>
            <w:tcW w:w="5660" w:type="dxa"/>
          </w:tcPr>
          <w:p w14:paraId="2C1237D2" w14:textId="6941B009"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Skylo supports ICASA’s alignment with ATU policy principles for satellite licensing frameworks and we encourage ICASA to adopt a flexible, light-touch regulatory approach for mobile-satellite services licensing. </w:t>
            </w:r>
            <w:r w:rsidR="00F56BAF">
              <w:rPr>
                <w:rFonts w:ascii="Roboto Light" w:eastAsia="Roboto Light" w:hAnsi="Roboto Light" w:cs="Roboto Light"/>
                <w:sz w:val="20"/>
                <w:szCs w:val="20"/>
              </w:rPr>
              <w:t>Such an approach</w:t>
            </w:r>
            <w:r>
              <w:rPr>
                <w:rFonts w:ascii="Roboto Light" w:eastAsia="Roboto Light" w:hAnsi="Roboto Light" w:cs="Roboto Light"/>
                <w:sz w:val="20"/>
                <w:szCs w:val="20"/>
              </w:rPr>
              <w:t xml:space="preserve"> will promote innovation, investment, and the rapid deployment of satellite services, particularly in rural and underserved areas</w:t>
            </w:r>
            <w:r w:rsidR="00F56BAF">
              <w:rPr>
                <w:rFonts w:ascii="Roboto Light" w:eastAsia="Roboto Light" w:hAnsi="Roboto Light" w:cs="Roboto Light"/>
                <w:sz w:val="20"/>
                <w:szCs w:val="20"/>
              </w:rPr>
              <w:t>, that are in most need of advanced connectivity</w:t>
            </w:r>
            <w:r>
              <w:rPr>
                <w:rFonts w:ascii="Roboto Light" w:eastAsia="Roboto Light" w:hAnsi="Roboto Light" w:cs="Roboto Light"/>
                <w:sz w:val="20"/>
                <w:szCs w:val="20"/>
              </w:rPr>
              <w:t>.</w:t>
            </w:r>
          </w:p>
          <w:p w14:paraId="51F43287" w14:textId="77777777" w:rsidR="00FD774C" w:rsidRDefault="00FD774C">
            <w:pPr>
              <w:rPr>
                <w:rFonts w:ascii="Roboto Light" w:eastAsia="Roboto Light" w:hAnsi="Roboto Light" w:cs="Roboto Light"/>
                <w:sz w:val="20"/>
                <w:szCs w:val="20"/>
              </w:rPr>
            </w:pPr>
          </w:p>
          <w:p w14:paraId="20434A93" w14:textId="77777777" w:rsidR="00FD774C" w:rsidRDefault="00000000">
            <w:pPr>
              <w:rPr>
                <w:rFonts w:ascii="Roboto Light" w:eastAsia="Roboto Light" w:hAnsi="Roboto Light" w:cs="Roboto Light"/>
                <w:sz w:val="20"/>
                <w:szCs w:val="20"/>
              </w:rPr>
            </w:pPr>
            <w:proofErr w:type="spellStart"/>
            <w:r>
              <w:rPr>
                <w:rFonts w:ascii="Roboto Light" w:eastAsia="Roboto Light" w:hAnsi="Roboto Light" w:cs="Roboto Light"/>
                <w:sz w:val="20"/>
                <w:szCs w:val="20"/>
              </w:rPr>
              <w:t>Skylo’s</w:t>
            </w:r>
            <w:proofErr w:type="spellEnd"/>
            <w:r>
              <w:rPr>
                <w:rFonts w:ascii="Roboto Light" w:eastAsia="Roboto Light" w:hAnsi="Roboto Light" w:cs="Roboto Light"/>
                <w:sz w:val="20"/>
                <w:szCs w:val="20"/>
              </w:rPr>
              <w:t xml:space="preserve"> ‘direct-to-device’ (D2D) service is live across four continents, with more than 50 million square kilometers of coverage, which has given Skylo a unique opportunity to assess regulations for D2D services in a wide range of countries. Because Skylo is a D2D Non-Terrestrial Network (NTN) service provider that powers end-to-end satellite service for phones, wearables and Internet of Things (IoT) devices using dedicated, </w:t>
            </w:r>
            <w:proofErr w:type="spellStart"/>
            <w:r>
              <w:rPr>
                <w:rFonts w:ascii="Roboto Light" w:eastAsia="Roboto Light" w:hAnsi="Roboto Light" w:cs="Roboto Light"/>
                <w:sz w:val="20"/>
                <w:szCs w:val="20"/>
              </w:rPr>
              <w:t>licenced</w:t>
            </w:r>
            <w:proofErr w:type="spellEnd"/>
            <w:r>
              <w:rPr>
                <w:rFonts w:ascii="Roboto Light" w:eastAsia="Roboto Light" w:hAnsi="Roboto Light" w:cs="Roboto Light"/>
                <w:sz w:val="20"/>
                <w:szCs w:val="20"/>
              </w:rPr>
              <w:t xml:space="preserve"> mobile-satellite service (MSS) L- and S-band spectrum and geostationary satellites, Skylo has found that often the same regulatory framework applies for D2D using MSS spectrum as for existing mobile-satellite services. The ‘user terminal’ is simply a standard smartphone or IoT device</w:t>
            </w:r>
            <w:proofErr w:type="gramStart"/>
            <w:r>
              <w:rPr>
                <w:rFonts w:ascii="Roboto Light" w:eastAsia="Roboto Light" w:hAnsi="Roboto Light" w:cs="Roboto Light"/>
                <w:sz w:val="20"/>
                <w:szCs w:val="20"/>
              </w:rPr>
              <w:t>, as the case may be, allowing</w:t>
            </w:r>
            <w:proofErr w:type="gramEnd"/>
            <w:r>
              <w:rPr>
                <w:rFonts w:ascii="Roboto Light" w:eastAsia="Roboto Light" w:hAnsi="Roboto Light" w:cs="Roboto Light"/>
                <w:sz w:val="20"/>
                <w:szCs w:val="20"/>
              </w:rPr>
              <w:t xml:space="preserve"> existing regulations for mobile-satellite service to perfectly cover the scope of D2D. However, in most countries, there is no regulatory framework for type acceptance or type approval of the actual devices, particularly for D2D, that are being deployed using 3GPP Release-17 NTN standards. This can create a delay in obtaining the appropriate </w:t>
            </w:r>
            <w:proofErr w:type="spellStart"/>
            <w:r>
              <w:rPr>
                <w:rFonts w:ascii="Roboto Light" w:eastAsia="Roboto Light" w:hAnsi="Roboto Light" w:cs="Roboto Light"/>
                <w:sz w:val="20"/>
                <w:szCs w:val="20"/>
              </w:rPr>
              <w:t>licences</w:t>
            </w:r>
            <w:proofErr w:type="spellEnd"/>
            <w:r>
              <w:rPr>
                <w:rFonts w:ascii="Roboto Light" w:eastAsia="Roboto Light" w:hAnsi="Roboto Light" w:cs="Roboto Light"/>
                <w:sz w:val="20"/>
                <w:szCs w:val="20"/>
              </w:rPr>
              <w:t xml:space="preserve"> or equipment certification for the devices which are becoming available on a day-to-day basis. Therefore, Skylo encourages ICASA to adopt a light-touch regulatory framework to allow all capable cellular devices to take advantage of D2D/NTN, by using a blanket </w:t>
            </w:r>
            <w:proofErr w:type="spellStart"/>
            <w:r>
              <w:rPr>
                <w:rFonts w:ascii="Roboto Light" w:eastAsia="Roboto Light" w:hAnsi="Roboto Light" w:cs="Roboto Light"/>
                <w:sz w:val="20"/>
                <w:szCs w:val="20"/>
              </w:rPr>
              <w:lastRenderedPageBreak/>
              <w:t>licence</w:t>
            </w:r>
            <w:proofErr w:type="spellEnd"/>
            <w:r>
              <w:rPr>
                <w:rFonts w:ascii="Roboto Light" w:eastAsia="Roboto Light" w:hAnsi="Roboto Light" w:cs="Roboto Light"/>
                <w:sz w:val="20"/>
                <w:szCs w:val="20"/>
              </w:rPr>
              <w:t xml:space="preserve"> approach consistent with how terrestrial-only cellular devices are licensed today.  </w:t>
            </w:r>
          </w:p>
          <w:p w14:paraId="5090A199" w14:textId="77777777" w:rsidR="00FD774C" w:rsidRDefault="00FD774C">
            <w:pPr>
              <w:rPr>
                <w:rFonts w:ascii="Roboto Light" w:eastAsia="Roboto Light" w:hAnsi="Roboto Light" w:cs="Roboto Light"/>
                <w:sz w:val="20"/>
                <w:szCs w:val="20"/>
              </w:rPr>
            </w:pPr>
          </w:p>
          <w:p w14:paraId="57944D43" w14:textId="6B2D3954"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One of the most important benefits for people and businesses in South Africa is that D2D networks like </w:t>
            </w:r>
            <w:proofErr w:type="spellStart"/>
            <w:r>
              <w:rPr>
                <w:rFonts w:ascii="Roboto Light" w:eastAsia="Roboto Light" w:hAnsi="Roboto Light" w:cs="Roboto Light"/>
                <w:sz w:val="20"/>
                <w:szCs w:val="20"/>
              </w:rPr>
              <w:t>Skylo’s</w:t>
            </w:r>
            <w:proofErr w:type="spellEnd"/>
            <w:r>
              <w:rPr>
                <w:rFonts w:ascii="Roboto Light" w:eastAsia="Roboto Light" w:hAnsi="Roboto Light" w:cs="Roboto Light"/>
                <w:sz w:val="20"/>
                <w:szCs w:val="20"/>
              </w:rPr>
              <w:t xml:space="preserve"> make satellite connectivity affordable, reliable, ubiquitous, and – most importantly – that it works from the same device that consumers have today.  Because Skylo uses standardized cellular modems to connect to satellites, these services benefit from much </w:t>
            </w:r>
            <w:r w:rsidR="00F56BAF">
              <w:rPr>
                <w:rFonts w:ascii="Roboto Light" w:eastAsia="Roboto Light" w:hAnsi="Roboto Light" w:cs="Roboto Light"/>
                <w:sz w:val="20"/>
                <w:szCs w:val="20"/>
              </w:rPr>
              <w:t>great</w:t>
            </w:r>
            <w:r>
              <w:rPr>
                <w:rFonts w:ascii="Roboto Light" w:eastAsia="Roboto Light" w:hAnsi="Roboto Light" w:cs="Roboto Light"/>
                <w:sz w:val="20"/>
                <w:szCs w:val="20"/>
              </w:rPr>
              <w:t>er economies of scale and therefore can be deployed into many more devices because of the lower cost compared to traditional satellite phones that are more limited in scale and therefore more costly. Additionally, by building to 3GPP standards, Skylo is fully interoperable with the terrestrial mobile ecosystem, allowing satellite and terrestrial mobile services to operate no differently than standard roaming today.</w:t>
            </w:r>
          </w:p>
          <w:p w14:paraId="6F64E5A5" w14:textId="77777777" w:rsidR="00FD774C" w:rsidRDefault="00FD774C">
            <w:pPr>
              <w:rPr>
                <w:rFonts w:ascii="Roboto Light" w:eastAsia="Roboto Light" w:hAnsi="Roboto Light" w:cs="Roboto Light"/>
                <w:sz w:val="20"/>
                <w:szCs w:val="20"/>
              </w:rPr>
            </w:pPr>
          </w:p>
          <w:p w14:paraId="0CCAD0C6" w14:textId="69946EB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D2D services offer a crucial enhancement to connectivity across South Africa, especially in areas where terrestrial networks fall short, and in geographies such as mountains</w:t>
            </w:r>
            <w:r w:rsidR="00F56BAF">
              <w:rPr>
                <w:rFonts w:ascii="Roboto Light" w:eastAsia="Roboto Light" w:hAnsi="Roboto Light" w:cs="Roboto Light"/>
                <w:sz w:val="20"/>
                <w:szCs w:val="20"/>
              </w:rPr>
              <w:t>, the highveld,</w:t>
            </w:r>
            <w:r>
              <w:rPr>
                <w:rFonts w:ascii="Roboto Light" w:eastAsia="Roboto Light" w:hAnsi="Roboto Light" w:cs="Roboto Light"/>
                <w:sz w:val="20"/>
                <w:szCs w:val="20"/>
              </w:rPr>
              <w:t xml:space="preserve"> </w:t>
            </w:r>
            <w:r w:rsidR="00F56BAF">
              <w:rPr>
                <w:rFonts w:ascii="Roboto Light" w:eastAsia="Roboto Light" w:hAnsi="Roboto Light" w:cs="Roboto Light"/>
                <w:sz w:val="20"/>
                <w:szCs w:val="20"/>
              </w:rPr>
              <w:t xml:space="preserve">the bushveld </w:t>
            </w:r>
            <w:r>
              <w:rPr>
                <w:rFonts w:ascii="Roboto Light" w:eastAsia="Roboto Light" w:hAnsi="Roboto Light" w:cs="Roboto Light"/>
                <w:sz w:val="20"/>
                <w:szCs w:val="20"/>
              </w:rPr>
              <w:t>or deserts where terrestrial networks are</w:t>
            </w:r>
            <w:r w:rsidR="00F56BAF">
              <w:rPr>
                <w:rFonts w:ascii="Roboto Light" w:eastAsia="Roboto Light" w:hAnsi="Roboto Light" w:cs="Roboto Light"/>
                <w:sz w:val="20"/>
                <w:szCs w:val="20"/>
              </w:rPr>
              <w:t xml:space="preserve"> not</w:t>
            </w:r>
            <w:r>
              <w:rPr>
                <w:rFonts w:ascii="Roboto Light" w:eastAsia="Roboto Light" w:hAnsi="Roboto Light" w:cs="Roboto Light"/>
                <w:sz w:val="20"/>
                <w:szCs w:val="20"/>
              </w:rPr>
              <w:t xml:space="preserve"> economically viable. By providing reliable connectivity in vast regions with limited or no coverage, D2D services can significantly improve emergency and disaster response. D2D services also support IoT applications across industries like shipping, </w:t>
            </w:r>
            <w:r w:rsidR="00F56BAF">
              <w:rPr>
                <w:rFonts w:ascii="Roboto Light" w:eastAsia="Roboto Light" w:hAnsi="Roboto Light" w:cs="Roboto Light"/>
                <w:sz w:val="20"/>
                <w:szCs w:val="20"/>
              </w:rPr>
              <w:t xml:space="preserve">mining, </w:t>
            </w:r>
            <w:r>
              <w:rPr>
                <w:rFonts w:ascii="Roboto Light" w:eastAsia="Roboto Light" w:hAnsi="Roboto Light" w:cs="Roboto Light"/>
                <w:sz w:val="20"/>
                <w:szCs w:val="20"/>
              </w:rPr>
              <w:t>energy and environmental monitoring, animal tracking, logistics, agriculture, fishing, healthcare, and enabling data-driven decision-making and operational improvements. These are all critically important sectors of South Africa’s vibrant economy, therefore Skylo encourages the ICASA to adopt a regulatory framework for D2D using MSS spectrum that allows for the efficient deployment of a widespread proliferation of new devices.</w:t>
            </w:r>
          </w:p>
          <w:p w14:paraId="5BB7E9B6" w14:textId="77777777" w:rsidR="00FD774C" w:rsidRDefault="00FD774C">
            <w:pPr>
              <w:rPr>
                <w:rFonts w:ascii="Roboto Light" w:eastAsia="Roboto Light" w:hAnsi="Roboto Light" w:cs="Roboto Light"/>
                <w:sz w:val="20"/>
                <w:szCs w:val="20"/>
              </w:rPr>
            </w:pPr>
          </w:p>
          <w:p w14:paraId="398DC448"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Skylo has seen an exponential increase in the take-up of its service and the interest in deploying </w:t>
            </w:r>
            <w:proofErr w:type="spellStart"/>
            <w:r>
              <w:rPr>
                <w:rFonts w:ascii="Roboto Light" w:eastAsia="Roboto Light" w:hAnsi="Roboto Light" w:cs="Roboto Light"/>
                <w:sz w:val="20"/>
                <w:szCs w:val="20"/>
              </w:rPr>
              <w:t>Skylo’s</w:t>
            </w:r>
            <w:proofErr w:type="spellEnd"/>
            <w:r>
              <w:rPr>
                <w:rFonts w:ascii="Roboto Light" w:eastAsia="Roboto Light" w:hAnsi="Roboto Light" w:cs="Roboto Light"/>
                <w:sz w:val="20"/>
                <w:szCs w:val="20"/>
              </w:rPr>
              <w:t xml:space="preserve"> connectivity has skyrocketed with the recent introduction of Skylo in all Google Pixel 9 smartphones (</w:t>
            </w:r>
            <w:hyperlink r:id="rId7">
              <w:r>
                <w:rPr>
                  <w:rFonts w:ascii="Roboto Light" w:eastAsia="Roboto Light" w:hAnsi="Roboto Light" w:cs="Roboto Light"/>
                  <w:color w:val="1155CC"/>
                  <w:sz w:val="20"/>
                  <w:szCs w:val="20"/>
                  <w:u w:val="single"/>
                </w:rPr>
                <w:t>https://www.skylo.tech/newsroom/skylo-connectivity-enables-new-satellite-sos-feature-on-google-pixel-9-series</w:t>
              </w:r>
            </w:hyperlink>
            <w:r>
              <w:rPr>
                <w:rFonts w:ascii="Roboto Light" w:eastAsia="Roboto Light" w:hAnsi="Roboto Light" w:cs="Roboto Light"/>
                <w:sz w:val="20"/>
                <w:szCs w:val="20"/>
              </w:rPr>
              <w:t xml:space="preserve">), and recent partnership announcement with Verizon </w:t>
            </w:r>
            <w:hyperlink r:id="rId8">
              <w:r>
                <w:rPr>
                  <w:rFonts w:ascii="Roboto Light" w:eastAsia="Roboto Light" w:hAnsi="Roboto Light" w:cs="Roboto Light"/>
                  <w:color w:val="1155CC"/>
                  <w:sz w:val="20"/>
                  <w:szCs w:val="20"/>
                  <w:u w:val="single"/>
                </w:rPr>
                <w:t>(https://www.verizon.com/about/news/verizon-skylo-launch-direct-device-messaging-customers</w:t>
              </w:r>
            </w:hyperlink>
            <w:r>
              <w:rPr>
                <w:rFonts w:ascii="Roboto Light" w:eastAsia="Roboto Light" w:hAnsi="Roboto Light" w:cs="Roboto Light"/>
                <w:sz w:val="20"/>
                <w:szCs w:val="20"/>
              </w:rPr>
              <w:t>).  Given these recent developments and the market opportunity for D2D services in South Africa, Skylo is interested in providing D2D services in South Africa as quickly as possible.</w:t>
            </w:r>
          </w:p>
        </w:tc>
      </w:tr>
      <w:tr w:rsidR="00FD774C" w14:paraId="74C12D7A" w14:textId="77777777" w:rsidTr="00F11FCF">
        <w:tc>
          <w:tcPr>
            <w:tcW w:w="570" w:type="dxa"/>
          </w:tcPr>
          <w:p w14:paraId="0BDE593A"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lastRenderedPageBreak/>
              <w:t>Q2</w:t>
            </w:r>
          </w:p>
        </w:tc>
        <w:tc>
          <w:tcPr>
            <w:tcW w:w="3295" w:type="dxa"/>
          </w:tcPr>
          <w:p w14:paraId="6C11AA8F"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Do you agree with the exclusions of radio navigation satellite services, amateur satellite services, earth exploration, space research satellite services and </w:t>
            </w:r>
            <w:r>
              <w:rPr>
                <w:rFonts w:ascii="Roboto Light" w:eastAsia="Roboto Light" w:hAnsi="Roboto Light" w:cs="Roboto Light"/>
                <w:sz w:val="20"/>
                <w:szCs w:val="20"/>
              </w:rPr>
              <w:lastRenderedPageBreak/>
              <w:t>radio astronomy services indicated above and others if applicable? If not, please explain your reasoning and propose an alternative to this proposal.</w:t>
            </w:r>
          </w:p>
        </w:tc>
        <w:tc>
          <w:tcPr>
            <w:tcW w:w="5660" w:type="dxa"/>
          </w:tcPr>
          <w:p w14:paraId="7CC91B65"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lastRenderedPageBreak/>
              <w:t>Skylo agrees with the exclusions of radio navigation satellite services, amateur satellite services, earth exploration, space research satellite services and radio astronomy services.</w:t>
            </w:r>
          </w:p>
          <w:p w14:paraId="43147057" w14:textId="77777777" w:rsidR="00A8614D" w:rsidRDefault="00A8614D">
            <w:pPr>
              <w:rPr>
                <w:rFonts w:ascii="Roboto Light" w:eastAsia="Roboto Light" w:hAnsi="Roboto Light" w:cs="Roboto Light"/>
                <w:sz w:val="20"/>
                <w:szCs w:val="20"/>
              </w:rPr>
            </w:pPr>
          </w:p>
          <w:p w14:paraId="1F68D1C4" w14:textId="13C57F15" w:rsidR="00A8614D" w:rsidRDefault="00A8614D">
            <w:pPr>
              <w:rPr>
                <w:rFonts w:ascii="Roboto Light" w:eastAsia="Roboto Light" w:hAnsi="Roboto Light" w:cs="Roboto Light"/>
                <w:sz w:val="20"/>
                <w:szCs w:val="20"/>
              </w:rPr>
            </w:pPr>
            <w:r>
              <w:rPr>
                <w:rFonts w:ascii="Roboto Light" w:eastAsia="Roboto Light" w:hAnsi="Roboto Light" w:cs="Roboto Light"/>
                <w:sz w:val="20"/>
                <w:szCs w:val="20"/>
              </w:rPr>
              <w:lastRenderedPageBreak/>
              <w:t>In the Table above Question 2 in the row designated for 2 GHz MSS, Skylo would strongly recommend that ICASA follow the global ITU allocation for MSS in the 2 GHz band which encompasses the entire 1980-2010 MHz and 2170-2200 MHz bands.</w:t>
            </w:r>
            <w:r w:rsidR="00F11FCF">
              <w:rPr>
                <w:rFonts w:ascii="Roboto Light" w:eastAsia="Roboto Light" w:hAnsi="Roboto Light" w:cs="Roboto Light"/>
                <w:sz w:val="20"/>
                <w:szCs w:val="20"/>
              </w:rPr>
              <w:t xml:space="preserve"> </w:t>
            </w:r>
            <w:r>
              <w:rPr>
                <w:rFonts w:ascii="Roboto Light" w:eastAsia="Roboto Light" w:hAnsi="Roboto Light" w:cs="Roboto Light"/>
                <w:sz w:val="20"/>
                <w:szCs w:val="20"/>
              </w:rPr>
              <w:t xml:space="preserve">To also include the 2010-2020 MHz band will </w:t>
            </w:r>
            <w:r w:rsidR="00336CEA">
              <w:rPr>
                <w:rFonts w:ascii="Roboto Light" w:eastAsia="Roboto Light" w:hAnsi="Roboto Light" w:cs="Roboto Light"/>
                <w:sz w:val="20"/>
                <w:szCs w:val="20"/>
              </w:rPr>
              <w:t xml:space="preserve">give </w:t>
            </w:r>
            <w:r>
              <w:rPr>
                <w:rFonts w:ascii="Roboto Light" w:eastAsia="Roboto Light" w:hAnsi="Roboto Light" w:cs="Roboto Light"/>
                <w:sz w:val="20"/>
                <w:szCs w:val="20"/>
              </w:rPr>
              <w:t xml:space="preserve">South Africa </w:t>
            </w:r>
            <w:r w:rsidR="00336CEA">
              <w:rPr>
                <w:rFonts w:ascii="Roboto Light" w:eastAsia="Roboto Light" w:hAnsi="Roboto Light" w:cs="Roboto Light"/>
                <w:sz w:val="20"/>
                <w:szCs w:val="20"/>
              </w:rPr>
              <w:t xml:space="preserve">the flexibility </w:t>
            </w:r>
            <w:r>
              <w:rPr>
                <w:rFonts w:ascii="Roboto Light" w:eastAsia="Roboto Light" w:hAnsi="Roboto Light" w:cs="Roboto Light"/>
                <w:sz w:val="20"/>
                <w:szCs w:val="20"/>
              </w:rPr>
              <w:t xml:space="preserve">to encompass part of the Region 2 allocation that is being reviewed </w:t>
            </w:r>
            <w:r w:rsidR="00336CEA">
              <w:rPr>
                <w:rFonts w:ascii="Roboto Light" w:eastAsia="Roboto Light" w:hAnsi="Roboto Light" w:cs="Roboto Light"/>
                <w:sz w:val="20"/>
                <w:szCs w:val="20"/>
              </w:rPr>
              <w:t xml:space="preserve">for a global allocation </w:t>
            </w:r>
            <w:r>
              <w:rPr>
                <w:rFonts w:ascii="Roboto Light" w:eastAsia="Roboto Light" w:hAnsi="Roboto Light" w:cs="Roboto Light"/>
                <w:sz w:val="20"/>
                <w:szCs w:val="20"/>
              </w:rPr>
              <w:t>by the ITU before WRC-27.</w:t>
            </w:r>
          </w:p>
          <w:p w14:paraId="664EBC10" w14:textId="77777777" w:rsidR="00FD774C" w:rsidRDefault="00FD774C">
            <w:pPr>
              <w:rPr>
                <w:rFonts w:ascii="Roboto Light" w:eastAsia="Roboto Light" w:hAnsi="Roboto Light" w:cs="Roboto Light"/>
                <w:sz w:val="20"/>
                <w:szCs w:val="20"/>
              </w:rPr>
            </w:pPr>
          </w:p>
          <w:p w14:paraId="7591B037" w14:textId="46B44C05" w:rsidR="00FD774C" w:rsidRDefault="00000000">
            <w:pPr>
              <w:widowControl w:val="0"/>
              <w:rPr>
                <w:rFonts w:ascii="Roboto Light" w:eastAsia="Roboto Light" w:hAnsi="Roboto Light" w:cs="Roboto Light"/>
                <w:sz w:val="22"/>
                <w:szCs w:val="22"/>
              </w:rPr>
            </w:pPr>
            <w:r>
              <w:rPr>
                <w:rFonts w:ascii="Roboto Light" w:eastAsia="Roboto Light" w:hAnsi="Roboto Light" w:cs="Roboto Light"/>
                <w:sz w:val="20"/>
                <w:szCs w:val="20"/>
              </w:rPr>
              <w:t xml:space="preserve">Skylo currently operates mobile-satellite services in the L-band and the S-band using the following </w:t>
            </w:r>
            <w:r w:rsidR="00A8614D">
              <w:rPr>
                <w:rFonts w:ascii="Roboto Light" w:eastAsia="Roboto Light" w:hAnsi="Roboto Light" w:cs="Roboto Light"/>
                <w:sz w:val="20"/>
                <w:szCs w:val="20"/>
              </w:rPr>
              <w:t>band pairings</w:t>
            </w:r>
            <w:r>
              <w:rPr>
                <w:rFonts w:ascii="Roboto Light" w:eastAsia="Roboto Light" w:hAnsi="Roboto Light" w:cs="Roboto Light"/>
                <w:sz w:val="20"/>
                <w:szCs w:val="20"/>
              </w:rPr>
              <w:t>:</w:t>
            </w:r>
          </w:p>
          <w:p w14:paraId="7122183A" w14:textId="77777777" w:rsidR="00FD774C" w:rsidRDefault="00FD774C">
            <w:pPr>
              <w:widowControl w:val="0"/>
              <w:rPr>
                <w:rFonts w:ascii="Roboto Light" w:eastAsia="Roboto Light" w:hAnsi="Roboto Light" w:cs="Roboto Light"/>
                <w:sz w:val="22"/>
                <w:szCs w:val="22"/>
              </w:rPr>
            </w:pPr>
          </w:p>
          <w:tbl>
            <w:tblPr>
              <w:tblStyle w:val="a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6"/>
              <w:gridCol w:w="1924"/>
            </w:tblGrid>
            <w:tr w:rsidR="00FD774C" w14:paraId="3E54EEFB" w14:textId="77777777">
              <w:tc>
                <w:tcPr>
                  <w:tcW w:w="0" w:type="auto"/>
                  <w:shd w:val="clear" w:color="auto" w:fill="auto"/>
                  <w:tcMar>
                    <w:top w:w="100" w:type="dxa"/>
                    <w:left w:w="100" w:type="dxa"/>
                    <w:bottom w:w="100" w:type="dxa"/>
                    <w:right w:w="100" w:type="dxa"/>
                  </w:tcMar>
                </w:tcPr>
                <w:p w14:paraId="440858A3" w14:textId="77777777" w:rsidR="00FD774C" w:rsidRDefault="00000000">
                  <w:pPr>
                    <w:widowControl w:val="0"/>
                    <w:spacing w:after="0" w:line="240" w:lineRule="auto"/>
                    <w:rPr>
                      <w:rFonts w:ascii="Roboto" w:eastAsia="Roboto" w:hAnsi="Roboto" w:cs="Roboto"/>
                      <w:b/>
                      <w:sz w:val="20"/>
                      <w:szCs w:val="20"/>
                    </w:rPr>
                  </w:pPr>
                  <w:r>
                    <w:rPr>
                      <w:rFonts w:ascii="Roboto" w:eastAsia="Roboto" w:hAnsi="Roboto" w:cs="Roboto"/>
                      <w:b/>
                      <w:sz w:val="20"/>
                      <w:szCs w:val="20"/>
                    </w:rPr>
                    <w:t>UE Rx</w:t>
                  </w:r>
                </w:p>
              </w:tc>
              <w:tc>
                <w:tcPr>
                  <w:tcW w:w="0" w:type="auto"/>
                  <w:shd w:val="clear" w:color="auto" w:fill="auto"/>
                  <w:tcMar>
                    <w:top w:w="100" w:type="dxa"/>
                    <w:left w:w="100" w:type="dxa"/>
                    <w:bottom w:w="100" w:type="dxa"/>
                    <w:right w:w="100" w:type="dxa"/>
                  </w:tcMar>
                </w:tcPr>
                <w:p w14:paraId="0F3D50E4" w14:textId="77777777" w:rsidR="00FD774C" w:rsidRDefault="00000000">
                  <w:pPr>
                    <w:widowControl w:val="0"/>
                    <w:spacing w:after="0" w:line="240" w:lineRule="auto"/>
                    <w:rPr>
                      <w:rFonts w:ascii="Roboto" w:eastAsia="Roboto" w:hAnsi="Roboto" w:cs="Roboto"/>
                      <w:b/>
                      <w:sz w:val="20"/>
                      <w:szCs w:val="20"/>
                    </w:rPr>
                  </w:pPr>
                  <w:r>
                    <w:rPr>
                      <w:rFonts w:ascii="Roboto" w:eastAsia="Roboto" w:hAnsi="Roboto" w:cs="Roboto"/>
                      <w:b/>
                      <w:sz w:val="20"/>
                      <w:szCs w:val="20"/>
                    </w:rPr>
                    <w:t>UE Tx</w:t>
                  </w:r>
                </w:p>
              </w:tc>
            </w:tr>
            <w:tr w:rsidR="00FD774C" w14:paraId="17FBA4F4" w14:textId="77777777">
              <w:tc>
                <w:tcPr>
                  <w:tcW w:w="0" w:type="auto"/>
                  <w:shd w:val="clear" w:color="auto" w:fill="auto"/>
                  <w:tcMar>
                    <w:top w:w="100" w:type="dxa"/>
                    <w:left w:w="100" w:type="dxa"/>
                    <w:bottom w:w="100" w:type="dxa"/>
                    <w:right w:w="100" w:type="dxa"/>
                  </w:tcMar>
                </w:tcPr>
                <w:p w14:paraId="5B60D6D8" w14:textId="77777777" w:rsidR="00FD774C" w:rsidRDefault="00000000">
                  <w:pPr>
                    <w:widowControl w:val="0"/>
                    <w:spacing w:after="0" w:line="240" w:lineRule="auto"/>
                    <w:rPr>
                      <w:rFonts w:ascii="Roboto Light" w:eastAsia="Roboto Light" w:hAnsi="Roboto Light" w:cs="Roboto Light"/>
                      <w:sz w:val="20"/>
                      <w:szCs w:val="20"/>
                    </w:rPr>
                  </w:pPr>
                  <w:r>
                    <w:rPr>
                      <w:rFonts w:ascii="Roboto Light" w:eastAsia="Roboto Light" w:hAnsi="Roboto Light" w:cs="Roboto Light"/>
                      <w:sz w:val="20"/>
                      <w:szCs w:val="20"/>
                    </w:rPr>
                    <w:t>1525-1559 MHz</w:t>
                  </w:r>
                </w:p>
              </w:tc>
              <w:tc>
                <w:tcPr>
                  <w:tcW w:w="0" w:type="auto"/>
                  <w:shd w:val="clear" w:color="auto" w:fill="auto"/>
                  <w:tcMar>
                    <w:top w:w="100" w:type="dxa"/>
                    <w:left w:w="100" w:type="dxa"/>
                    <w:bottom w:w="100" w:type="dxa"/>
                    <w:right w:w="100" w:type="dxa"/>
                  </w:tcMar>
                </w:tcPr>
                <w:p w14:paraId="2D1EF722" w14:textId="77777777" w:rsidR="00FD774C" w:rsidRDefault="00000000">
                  <w:pPr>
                    <w:widowControl w:val="0"/>
                    <w:spacing w:after="0" w:line="240" w:lineRule="auto"/>
                    <w:rPr>
                      <w:rFonts w:ascii="Roboto Light" w:eastAsia="Roboto Light" w:hAnsi="Roboto Light" w:cs="Roboto Light"/>
                      <w:sz w:val="20"/>
                      <w:szCs w:val="20"/>
                    </w:rPr>
                  </w:pPr>
                  <w:r>
                    <w:rPr>
                      <w:rFonts w:ascii="Roboto Light" w:eastAsia="Roboto Light" w:hAnsi="Roboto Light" w:cs="Roboto Light"/>
                      <w:sz w:val="20"/>
                      <w:szCs w:val="20"/>
                    </w:rPr>
                    <w:t>1626.5-1660.5 MHz</w:t>
                  </w:r>
                </w:p>
              </w:tc>
            </w:tr>
            <w:tr w:rsidR="00FD774C" w14:paraId="0DFE6F42" w14:textId="77777777">
              <w:tc>
                <w:tcPr>
                  <w:tcW w:w="0" w:type="auto"/>
                  <w:shd w:val="clear" w:color="auto" w:fill="auto"/>
                  <w:tcMar>
                    <w:top w:w="100" w:type="dxa"/>
                    <w:left w:w="100" w:type="dxa"/>
                    <w:bottom w:w="100" w:type="dxa"/>
                    <w:right w:w="100" w:type="dxa"/>
                  </w:tcMar>
                </w:tcPr>
                <w:p w14:paraId="2BF3D0B3" w14:textId="77777777" w:rsidR="00FD774C" w:rsidRDefault="00000000">
                  <w:pPr>
                    <w:widowControl w:val="0"/>
                    <w:spacing w:after="0" w:line="240" w:lineRule="auto"/>
                    <w:rPr>
                      <w:rFonts w:ascii="Roboto Light" w:eastAsia="Roboto Light" w:hAnsi="Roboto Light" w:cs="Roboto Light"/>
                      <w:sz w:val="20"/>
                      <w:szCs w:val="20"/>
                    </w:rPr>
                  </w:pPr>
                  <w:r>
                    <w:rPr>
                      <w:rFonts w:ascii="Roboto Light" w:eastAsia="Roboto Light" w:hAnsi="Roboto Light" w:cs="Roboto Light"/>
                      <w:sz w:val="20"/>
                      <w:szCs w:val="20"/>
                    </w:rPr>
                    <w:t>2170-2200 MHz</w:t>
                  </w:r>
                </w:p>
              </w:tc>
              <w:tc>
                <w:tcPr>
                  <w:tcW w:w="0" w:type="auto"/>
                  <w:shd w:val="clear" w:color="auto" w:fill="auto"/>
                  <w:tcMar>
                    <w:top w:w="100" w:type="dxa"/>
                    <w:left w:w="100" w:type="dxa"/>
                    <w:bottom w:w="100" w:type="dxa"/>
                    <w:right w:w="100" w:type="dxa"/>
                  </w:tcMar>
                </w:tcPr>
                <w:p w14:paraId="439A3560" w14:textId="77777777" w:rsidR="00FD774C" w:rsidRDefault="00000000">
                  <w:pPr>
                    <w:widowControl w:val="0"/>
                    <w:spacing w:after="0" w:line="240" w:lineRule="auto"/>
                    <w:rPr>
                      <w:rFonts w:ascii="Roboto Light" w:eastAsia="Roboto Light" w:hAnsi="Roboto Light" w:cs="Roboto Light"/>
                      <w:sz w:val="20"/>
                      <w:szCs w:val="20"/>
                    </w:rPr>
                  </w:pPr>
                  <w:r>
                    <w:rPr>
                      <w:rFonts w:ascii="Roboto Light" w:eastAsia="Roboto Light" w:hAnsi="Roboto Light" w:cs="Roboto Light"/>
                      <w:sz w:val="20"/>
                      <w:szCs w:val="20"/>
                    </w:rPr>
                    <w:t>1980-2010 MHz</w:t>
                  </w:r>
                </w:p>
              </w:tc>
            </w:tr>
            <w:tr w:rsidR="00FD774C" w14:paraId="23A9310B" w14:textId="77777777">
              <w:tc>
                <w:tcPr>
                  <w:tcW w:w="0" w:type="auto"/>
                  <w:shd w:val="clear" w:color="auto" w:fill="auto"/>
                  <w:tcMar>
                    <w:top w:w="100" w:type="dxa"/>
                    <w:left w:w="100" w:type="dxa"/>
                    <w:bottom w:w="100" w:type="dxa"/>
                    <w:right w:w="100" w:type="dxa"/>
                  </w:tcMar>
                </w:tcPr>
                <w:p w14:paraId="74FEE01C" w14:textId="77777777" w:rsidR="00FD774C" w:rsidRDefault="00000000">
                  <w:pPr>
                    <w:widowControl w:val="0"/>
                    <w:spacing w:after="0" w:line="240" w:lineRule="auto"/>
                    <w:rPr>
                      <w:rFonts w:ascii="Roboto Light" w:eastAsia="Roboto Light" w:hAnsi="Roboto Light" w:cs="Roboto Light"/>
                      <w:sz w:val="20"/>
                      <w:szCs w:val="20"/>
                    </w:rPr>
                  </w:pPr>
                  <w:r>
                    <w:rPr>
                      <w:rFonts w:ascii="Roboto Light" w:eastAsia="Roboto Light" w:hAnsi="Roboto Light" w:cs="Roboto Light"/>
                      <w:sz w:val="20"/>
                      <w:szCs w:val="20"/>
                    </w:rPr>
                    <w:t>2180-2200 MHz</w:t>
                  </w:r>
                </w:p>
              </w:tc>
              <w:tc>
                <w:tcPr>
                  <w:tcW w:w="0" w:type="auto"/>
                  <w:shd w:val="clear" w:color="auto" w:fill="auto"/>
                  <w:tcMar>
                    <w:top w:w="100" w:type="dxa"/>
                    <w:left w:w="100" w:type="dxa"/>
                    <w:bottom w:w="100" w:type="dxa"/>
                    <w:right w:w="100" w:type="dxa"/>
                  </w:tcMar>
                </w:tcPr>
                <w:p w14:paraId="70E887A8" w14:textId="77777777" w:rsidR="00FD774C" w:rsidRDefault="00000000">
                  <w:pPr>
                    <w:widowControl w:val="0"/>
                    <w:spacing w:after="0" w:line="240" w:lineRule="auto"/>
                    <w:rPr>
                      <w:rFonts w:ascii="Roboto Light" w:eastAsia="Roboto Light" w:hAnsi="Roboto Light" w:cs="Roboto Light"/>
                      <w:sz w:val="20"/>
                      <w:szCs w:val="20"/>
                    </w:rPr>
                  </w:pPr>
                  <w:r>
                    <w:rPr>
                      <w:rFonts w:ascii="Roboto Light" w:eastAsia="Roboto Light" w:hAnsi="Roboto Light" w:cs="Roboto Light"/>
                      <w:sz w:val="20"/>
                      <w:szCs w:val="20"/>
                    </w:rPr>
                    <w:t>2000-2020 MHz</w:t>
                  </w:r>
                </w:p>
              </w:tc>
            </w:tr>
          </w:tbl>
          <w:p w14:paraId="2CCB33F6" w14:textId="77777777" w:rsidR="00FD774C" w:rsidRDefault="00FD774C">
            <w:pPr>
              <w:rPr>
                <w:rFonts w:ascii="Roboto Light" w:eastAsia="Roboto Light" w:hAnsi="Roboto Light" w:cs="Roboto Light"/>
                <w:sz w:val="20"/>
                <w:szCs w:val="20"/>
              </w:rPr>
            </w:pPr>
          </w:p>
          <w:p w14:paraId="0A952A5B" w14:textId="77777777" w:rsidR="00FD774C" w:rsidRDefault="00000000">
            <w:pPr>
              <w:widowControl w:val="0"/>
              <w:rPr>
                <w:rFonts w:ascii="Roboto Light" w:eastAsia="Roboto Light" w:hAnsi="Roboto Light" w:cs="Roboto Light"/>
                <w:sz w:val="20"/>
                <w:szCs w:val="20"/>
              </w:rPr>
            </w:pPr>
            <w:r>
              <w:rPr>
                <w:rFonts w:ascii="Roboto Light" w:eastAsia="Roboto Light" w:hAnsi="Roboto Light" w:cs="Roboto Light"/>
                <w:sz w:val="20"/>
                <w:szCs w:val="20"/>
              </w:rPr>
              <w:t xml:space="preserve">Skylo is also interested in providing mobile-satellite services in additional frequencies, which may be eligible for allocation now or </w:t>
            </w:r>
            <w:proofErr w:type="gramStart"/>
            <w:r>
              <w:rPr>
                <w:rFonts w:ascii="Roboto Light" w:eastAsia="Roboto Light" w:hAnsi="Roboto Light" w:cs="Roboto Light"/>
                <w:sz w:val="20"/>
                <w:szCs w:val="20"/>
              </w:rPr>
              <w:t>in the near future</w:t>
            </w:r>
            <w:proofErr w:type="gramEnd"/>
            <w:r>
              <w:rPr>
                <w:rFonts w:ascii="Roboto Light" w:eastAsia="Roboto Light" w:hAnsi="Roboto Light" w:cs="Roboto Light"/>
                <w:sz w:val="20"/>
                <w:szCs w:val="20"/>
              </w:rPr>
              <w:t>:</w:t>
            </w:r>
          </w:p>
          <w:p w14:paraId="17868B33" w14:textId="77777777" w:rsidR="00FD774C" w:rsidRDefault="00FD774C">
            <w:pPr>
              <w:widowControl w:val="0"/>
              <w:rPr>
                <w:rFonts w:ascii="Roboto Light" w:eastAsia="Roboto Light" w:hAnsi="Roboto Light" w:cs="Roboto Light"/>
                <w:sz w:val="20"/>
                <w:szCs w:val="20"/>
              </w:rPr>
            </w:pPr>
          </w:p>
          <w:tbl>
            <w:tblPr>
              <w:tblStyle w:val="a2"/>
              <w:tblW w:w="4380" w:type="dxa"/>
              <w:tblLayout w:type="fixed"/>
              <w:tblLook w:val="0400" w:firstRow="0" w:lastRow="0" w:firstColumn="0" w:lastColumn="0" w:noHBand="0" w:noVBand="1"/>
            </w:tblPr>
            <w:tblGrid>
              <w:gridCol w:w="2190"/>
              <w:gridCol w:w="2190"/>
            </w:tblGrid>
            <w:tr w:rsidR="00FD774C" w14:paraId="4CD47A2F"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6E877" w14:textId="77777777" w:rsidR="00FD774C" w:rsidRDefault="00000000">
                  <w:pPr>
                    <w:spacing w:after="0" w:line="240" w:lineRule="auto"/>
                    <w:rPr>
                      <w:rFonts w:ascii="Roboto" w:eastAsia="Roboto" w:hAnsi="Roboto" w:cs="Roboto"/>
                      <w:b/>
                      <w:color w:val="000000"/>
                      <w:sz w:val="20"/>
                      <w:szCs w:val="20"/>
                    </w:rPr>
                  </w:pPr>
                  <w:r>
                    <w:rPr>
                      <w:rFonts w:ascii="Roboto" w:eastAsia="Roboto" w:hAnsi="Roboto" w:cs="Roboto"/>
                      <w:b/>
                      <w:color w:val="000000"/>
                      <w:sz w:val="20"/>
                      <w:szCs w:val="20"/>
                    </w:rPr>
                    <w:t>UE Rx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0D4E6" w14:textId="77777777" w:rsidR="00FD774C" w:rsidRDefault="00000000">
                  <w:pPr>
                    <w:spacing w:after="0" w:line="240" w:lineRule="auto"/>
                    <w:rPr>
                      <w:rFonts w:ascii="Roboto" w:eastAsia="Roboto" w:hAnsi="Roboto" w:cs="Roboto"/>
                      <w:b/>
                      <w:color w:val="000000"/>
                      <w:sz w:val="20"/>
                      <w:szCs w:val="20"/>
                    </w:rPr>
                  </w:pPr>
                  <w:r>
                    <w:rPr>
                      <w:rFonts w:ascii="Roboto" w:eastAsia="Roboto" w:hAnsi="Roboto" w:cs="Roboto"/>
                      <w:b/>
                      <w:color w:val="000000"/>
                      <w:sz w:val="20"/>
                      <w:szCs w:val="20"/>
                    </w:rPr>
                    <w:t>UE Tx</w:t>
                  </w:r>
                </w:p>
              </w:tc>
            </w:tr>
            <w:tr w:rsidR="00FD774C" w14:paraId="2AA6A222" w14:textId="77777777">
              <w:trPr>
                <w:trHeight w:val="2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035DE" w14:textId="77777777" w:rsidR="00FD774C" w:rsidRDefault="00000000">
                  <w:pPr>
                    <w:spacing w:after="0" w:line="240" w:lineRule="auto"/>
                    <w:rPr>
                      <w:rFonts w:ascii="Roboto Light" w:eastAsia="Roboto Light" w:hAnsi="Roboto Light" w:cs="Roboto Light"/>
                      <w:color w:val="000000"/>
                      <w:sz w:val="20"/>
                      <w:szCs w:val="20"/>
                    </w:rPr>
                  </w:pPr>
                  <w:r>
                    <w:rPr>
                      <w:rFonts w:ascii="Roboto Light" w:eastAsia="Roboto Light" w:hAnsi="Roboto Light" w:cs="Roboto Light"/>
                      <w:color w:val="000000"/>
                      <w:sz w:val="20"/>
                      <w:szCs w:val="20"/>
                    </w:rPr>
                    <w:t>2120-2160 MHz</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F427E" w14:textId="77777777" w:rsidR="00FD774C" w:rsidRDefault="00000000">
                  <w:pPr>
                    <w:spacing w:after="0" w:line="240" w:lineRule="auto"/>
                    <w:rPr>
                      <w:rFonts w:ascii="Roboto Light" w:eastAsia="Roboto Light" w:hAnsi="Roboto Light" w:cs="Roboto Light"/>
                      <w:color w:val="000000"/>
                      <w:sz w:val="20"/>
                      <w:szCs w:val="20"/>
                    </w:rPr>
                  </w:pPr>
                  <w:r>
                    <w:rPr>
                      <w:rFonts w:ascii="Roboto Light" w:eastAsia="Roboto Light" w:hAnsi="Roboto Light" w:cs="Roboto Light"/>
                      <w:color w:val="000000"/>
                      <w:sz w:val="20"/>
                      <w:szCs w:val="20"/>
                    </w:rPr>
                    <w:t>2010-2025 MHz</w:t>
                  </w:r>
                </w:p>
              </w:tc>
            </w:tr>
            <w:tr w:rsidR="00FD774C" w14:paraId="1C36FAF3" w14:textId="77777777">
              <w:trPr>
                <w:trHeight w:val="20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6BB55" w14:textId="77777777" w:rsidR="00FD774C" w:rsidRDefault="00000000">
                  <w:pPr>
                    <w:spacing w:after="0" w:line="240" w:lineRule="auto"/>
                    <w:rPr>
                      <w:rFonts w:ascii="Roboto Light" w:eastAsia="Roboto Light" w:hAnsi="Roboto Light" w:cs="Roboto Light"/>
                      <w:color w:val="000000"/>
                      <w:sz w:val="20"/>
                      <w:szCs w:val="20"/>
                    </w:rPr>
                  </w:pPr>
                  <w:r>
                    <w:rPr>
                      <w:rFonts w:ascii="Roboto Light" w:eastAsia="Roboto Light" w:hAnsi="Roboto Light" w:cs="Roboto Light"/>
                      <w:color w:val="000000"/>
                      <w:sz w:val="20"/>
                      <w:szCs w:val="20"/>
                    </w:rPr>
                    <w:t>2160-2170 MHz</w:t>
                  </w:r>
                </w:p>
              </w:tc>
              <w:tc>
                <w:tcPr>
                  <w:tcW w:w="0" w:type="auto"/>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D8291" w14:textId="77777777" w:rsidR="00FD774C" w:rsidRDefault="00FD774C">
                  <w:pPr>
                    <w:widowControl w:val="0"/>
                    <w:pBdr>
                      <w:top w:val="nil"/>
                      <w:left w:val="nil"/>
                      <w:bottom w:val="nil"/>
                      <w:right w:val="nil"/>
                      <w:between w:val="nil"/>
                    </w:pBdr>
                    <w:spacing w:after="0" w:line="276" w:lineRule="auto"/>
                    <w:rPr>
                      <w:rFonts w:ascii="Roboto Light" w:eastAsia="Roboto Light" w:hAnsi="Roboto Light" w:cs="Roboto Light"/>
                      <w:color w:val="000000"/>
                      <w:sz w:val="20"/>
                      <w:szCs w:val="20"/>
                    </w:rPr>
                  </w:pPr>
                </w:p>
              </w:tc>
            </w:tr>
            <w:tr w:rsidR="00FD774C" w14:paraId="0A9D8EBC"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CE648" w14:textId="77777777" w:rsidR="00FD774C" w:rsidRDefault="00000000">
                  <w:pPr>
                    <w:spacing w:after="0" w:line="240" w:lineRule="auto"/>
                    <w:rPr>
                      <w:rFonts w:ascii="Roboto Light" w:eastAsia="Roboto Light" w:hAnsi="Roboto Light" w:cs="Roboto Light"/>
                      <w:color w:val="000000"/>
                      <w:sz w:val="20"/>
                      <w:szCs w:val="20"/>
                    </w:rPr>
                  </w:pPr>
                  <w:r>
                    <w:rPr>
                      <w:rFonts w:ascii="Roboto Light" w:eastAsia="Roboto Light" w:hAnsi="Roboto Light" w:cs="Roboto Light"/>
                      <w:color w:val="000000"/>
                      <w:sz w:val="20"/>
                      <w:szCs w:val="20"/>
                    </w:rPr>
                    <w:t>1518-1525 MHz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B10BA" w14:textId="77777777" w:rsidR="00FD774C" w:rsidRDefault="00000000">
                  <w:pPr>
                    <w:spacing w:after="0" w:line="240" w:lineRule="auto"/>
                    <w:rPr>
                      <w:rFonts w:ascii="Roboto Light" w:eastAsia="Roboto Light" w:hAnsi="Roboto Light" w:cs="Roboto Light"/>
                      <w:color w:val="000000"/>
                      <w:sz w:val="20"/>
                      <w:szCs w:val="20"/>
                    </w:rPr>
                  </w:pPr>
                  <w:r>
                    <w:rPr>
                      <w:rFonts w:ascii="Roboto Light" w:eastAsia="Roboto Light" w:hAnsi="Roboto Light" w:cs="Roboto Light"/>
                      <w:color w:val="000000"/>
                      <w:sz w:val="20"/>
                      <w:szCs w:val="20"/>
                    </w:rPr>
                    <w:t>1668-1675 MHz</w:t>
                  </w:r>
                </w:p>
              </w:tc>
            </w:tr>
          </w:tbl>
          <w:p w14:paraId="597980A3" w14:textId="77777777" w:rsidR="00FD774C" w:rsidRDefault="00FD774C">
            <w:pPr>
              <w:rPr>
                <w:rFonts w:ascii="Roboto Light" w:eastAsia="Roboto Light" w:hAnsi="Roboto Light" w:cs="Roboto Light"/>
                <w:sz w:val="20"/>
                <w:szCs w:val="20"/>
              </w:rPr>
            </w:pPr>
          </w:p>
          <w:p w14:paraId="2548CBDA"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Skylo encourages ICASA to include these bands for the assignment to GSO/ NGSO based mobile-satellite services as soon as practicable to increase the amount of spectrum available for Non-Terrestrial Network (NTN) ‘direct-to-device’ (D2D) services.</w:t>
            </w:r>
          </w:p>
        </w:tc>
      </w:tr>
      <w:tr w:rsidR="00FD774C" w14:paraId="3545A8DF" w14:textId="77777777" w:rsidTr="00F11FCF">
        <w:tc>
          <w:tcPr>
            <w:tcW w:w="570" w:type="dxa"/>
          </w:tcPr>
          <w:p w14:paraId="31FAA5DF"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lastRenderedPageBreak/>
              <w:t>Q3</w:t>
            </w:r>
          </w:p>
        </w:tc>
        <w:tc>
          <w:tcPr>
            <w:tcW w:w="3295" w:type="dxa"/>
          </w:tcPr>
          <w:p w14:paraId="77BA1BEC"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Do you agree with the proposed approach of having a separate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w:t>
            </w:r>
            <w:proofErr w:type="spellStart"/>
            <w:r>
              <w:rPr>
                <w:rFonts w:ascii="Roboto Light" w:eastAsia="Roboto Light" w:hAnsi="Roboto Light" w:cs="Roboto Light"/>
                <w:sz w:val="20"/>
                <w:szCs w:val="20"/>
              </w:rPr>
              <w:t>authorisation</w:t>
            </w:r>
            <w:proofErr w:type="spellEnd"/>
            <w:r>
              <w:rPr>
                <w:rFonts w:ascii="Roboto Light" w:eastAsia="Roboto Light" w:hAnsi="Roboto Light" w:cs="Roboto Light"/>
                <w:sz w:val="20"/>
                <w:szCs w:val="20"/>
              </w:rPr>
              <w:t xml:space="preserve"> (where applicable) for each segment of the Satellite Communication value chain? Please elaborate.</w:t>
            </w:r>
          </w:p>
        </w:tc>
        <w:tc>
          <w:tcPr>
            <w:tcW w:w="5660" w:type="dxa"/>
          </w:tcPr>
          <w:p w14:paraId="39CE2A9D"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Skylo agrees with the proposed approach of having a separate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w:t>
            </w:r>
            <w:proofErr w:type="spellStart"/>
            <w:r>
              <w:rPr>
                <w:rFonts w:ascii="Roboto Light" w:eastAsia="Roboto Light" w:hAnsi="Roboto Light" w:cs="Roboto Light"/>
                <w:sz w:val="20"/>
                <w:szCs w:val="20"/>
              </w:rPr>
              <w:t>authorisation</w:t>
            </w:r>
            <w:proofErr w:type="spellEnd"/>
            <w:r>
              <w:rPr>
                <w:rFonts w:ascii="Roboto Light" w:eastAsia="Roboto Light" w:hAnsi="Roboto Light" w:cs="Roboto Light"/>
                <w:sz w:val="20"/>
                <w:szCs w:val="20"/>
              </w:rPr>
              <w:t xml:space="preserve"> for each segment of the Satellite Communication value chain. This aligns with international best practices as many countries are adopting a segmented approach to satellite licensing, recognizing the unique characteristics of each segment and the need for specialized regulations. Aligning with this global trend can facilitate international cooperation and interoperability. In addition, separate </w:t>
            </w:r>
            <w:proofErr w:type="spellStart"/>
            <w:r>
              <w:rPr>
                <w:rFonts w:ascii="Roboto Light" w:eastAsia="Roboto Light" w:hAnsi="Roboto Light" w:cs="Roboto Light"/>
                <w:sz w:val="20"/>
                <w:szCs w:val="20"/>
              </w:rPr>
              <w:t>licences</w:t>
            </w:r>
            <w:proofErr w:type="spellEnd"/>
            <w:r>
              <w:rPr>
                <w:rFonts w:ascii="Roboto Light" w:eastAsia="Roboto Light" w:hAnsi="Roboto Light" w:cs="Roboto Light"/>
                <w:sz w:val="20"/>
                <w:szCs w:val="20"/>
              </w:rPr>
              <w:t xml:space="preserve"> allow smaller companies and new entrants to focus on specific segments of the satellite market, reducing the financial and regulatory burden of obtaining a comprehensive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 This encourages greater participation and competition, ultimately benefiting consumers.</w:t>
            </w:r>
          </w:p>
        </w:tc>
      </w:tr>
      <w:tr w:rsidR="00FD774C" w14:paraId="00F9B519" w14:textId="77777777" w:rsidTr="00F11FCF">
        <w:tc>
          <w:tcPr>
            <w:tcW w:w="570" w:type="dxa"/>
          </w:tcPr>
          <w:p w14:paraId="4C6C32B3"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lastRenderedPageBreak/>
              <w:t>Q4</w:t>
            </w:r>
          </w:p>
        </w:tc>
        <w:tc>
          <w:tcPr>
            <w:tcW w:w="3295" w:type="dxa"/>
          </w:tcPr>
          <w:p w14:paraId="6DE1E600"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Please provide your comments on the proposals in the preceding paragraph and the duration of the Gateway Earth Station </w:t>
            </w:r>
            <w:proofErr w:type="spellStart"/>
            <w:r>
              <w:rPr>
                <w:rFonts w:ascii="Roboto Light" w:eastAsia="Roboto Light" w:hAnsi="Roboto Light" w:cs="Roboto Light"/>
                <w:sz w:val="20"/>
                <w:szCs w:val="20"/>
              </w:rPr>
              <w:t>licences</w:t>
            </w:r>
            <w:proofErr w:type="spellEnd"/>
            <w:r>
              <w:rPr>
                <w:rFonts w:ascii="Roboto Light" w:eastAsia="Roboto Light" w:hAnsi="Roboto Light" w:cs="Roboto Light"/>
                <w:sz w:val="20"/>
                <w:szCs w:val="20"/>
              </w:rPr>
              <w:t>.</w:t>
            </w:r>
          </w:p>
        </w:tc>
        <w:tc>
          <w:tcPr>
            <w:tcW w:w="5660" w:type="dxa"/>
          </w:tcPr>
          <w:p w14:paraId="0E417A33" w14:textId="2C6A0259" w:rsidR="00FD774C" w:rsidRPr="00F11FCF" w:rsidRDefault="009808AC" w:rsidP="008D0A75">
            <w:pPr>
              <w:rPr>
                <w:rFonts w:ascii="Roboto Light" w:eastAsia="Roboto Light" w:hAnsi="Roboto Light" w:cs="Roboto Light"/>
                <w:sz w:val="20"/>
                <w:szCs w:val="20"/>
              </w:rPr>
            </w:pPr>
            <w:r>
              <w:rPr>
                <w:rFonts w:ascii="Roboto Light" w:eastAsia="Roboto Light" w:hAnsi="Roboto Light" w:cs="Roboto Light"/>
                <w:sz w:val="20"/>
                <w:szCs w:val="20"/>
              </w:rPr>
              <w:t>Skylo agrees with ICASA’s proposals regarding the regulatory framework for satellite gateways in South Africa.</w:t>
            </w:r>
          </w:p>
        </w:tc>
      </w:tr>
      <w:tr w:rsidR="00FD774C" w14:paraId="0EE43F47" w14:textId="77777777" w:rsidTr="00F11FCF">
        <w:tc>
          <w:tcPr>
            <w:tcW w:w="570" w:type="dxa"/>
          </w:tcPr>
          <w:p w14:paraId="06A526E6"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Q5</w:t>
            </w:r>
          </w:p>
        </w:tc>
        <w:tc>
          <w:tcPr>
            <w:tcW w:w="3295" w:type="dxa"/>
          </w:tcPr>
          <w:p w14:paraId="08D1FC7B"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Please comment on the above-mentioned alternative proposals to levy the spectrum fees for Gateway Earth Stations and indicate your preferred option. The Authority understands that there are other spectrum fee calculation methodologies used elsewhere in the world. Please give details of the methodologies which you believe would be most suitable for South Africa.</w:t>
            </w:r>
          </w:p>
        </w:tc>
        <w:tc>
          <w:tcPr>
            <w:tcW w:w="5660" w:type="dxa"/>
          </w:tcPr>
          <w:p w14:paraId="3E5498AB" w14:textId="79E8DC9B" w:rsidR="00986848" w:rsidRPr="00986848" w:rsidRDefault="00986848" w:rsidP="00986848">
            <w:pPr>
              <w:rPr>
                <w:rFonts w:ascii="Roboto Light" w:eastAsia="Roboto Light" w:hAnsi="Roboto Light" w:cs="Roboto Light"/>
                <w:sz w:val="20"/>
                <w:szCs w:val="20"/>
              </w:rPr>
            </w:pPr>
            <w:r>
              <w:t xml:space="preserve"> </w:t>
            </w:r>
            <w:r>
              <w:rPr>
                <w:rFonts w:ascii="Roboto Light" w:eastAsia="Roboto Light" w:hAnsi="Roboto Light" w:cs="Roboto Light"/>
                <w:sz w:val="20"/>
                <w:szCs w:val="20"/>
              </w:rPr>
              <w:t>Skylo agrees with ICASA’s proposals f</w:t>
            </w:r>
            <w:r w:rsidRPr="00986848">
              <w:rPr>
                <w:rFonts w:ascii="Roboto Light" w:eastAsia="Roboto Light" w:hAnsi="Roboto Light" w:cs="Roboto Light"/>
                <w:sz w:val="20"/>
                <w:szCs w:val="20"/>
              </w:rPr>
              <w:t xml:space="preserve">or Gateway Earth Station Spectrum </w:t>
            </w:r>
            <w:proofErr w:type="spellStart"/>
            <w:r w:rsidRPr="00986848">
              <w:rPr>
                <w:rFonts w:ascii="Roboto Light" w:eastAsia="Roboto Light" w:hAnsi="Roboto Light" w:cs="Roboto Light"/>
                <w:sz w:val="20"/>
                <w:szCs w:val="20"/>
              </w:rPr>
              <w:t>Licences</w:t>
            </w:r>
            <w:proofErr w:type="spellEnd"/>
            <w:r>
              <w:rPr>
                <w:rFonts w:ascii="Roboto Light" w:eastAsia="Roboto Light" w:hAnsi="Roboto Light" w:cs="Roboto Light"/>
                <w:sz w:val="20"/>
                <w:szCs w:val="20"/>
              </w:rPr>
              <w:t xml:space="preserve"> where it </w:t>
            </w:r>
            <w:r w:rsidRPr="00986848">
              <w:rPr>
                <w:rFonts w:ascii="Roboto Light" w:eastAsia="Roboto Light" w:hAnsi="Roboto Light" w:cs="Roboto Light"/>
                <w:sz w:val="20"/>
                <w:szCs w:val="20"/>
              </w:rPr>
              <w:t>proposes to</w:t>
            </w:r>
            <w:r>
              <w:rPr>
                <w:rFonts w:ascii="Roboto Light" w:eastAsia="Roboto Light" w:hAnsi="Roboto Light" w:cs="Roboto Light"/>
                <w:sz w:val="20"/>
                <w:szCs w:val="20"/>
              </w:rPr>
              <w:t xml:space="preserve"> </w:t>
            </w:r>
            <w:r w:rsidRPr="00986848">
              <w:rPr>
                <w:rFonts w:ascii="Roboto Light" w:eastAsia="Roboto Light" w:hAnsi="Roboto Light" w:cs="Roboto Light"/>
                <w:sz w:val="20"/>
                <w:szCs w:val="20"/>
              </w:rPr>
              <w:t xml:space="preserve">implement the spectrum </w:t>
            </w:r>
            <w:proofErr w:type="spellStart"/>
            <w:r w:rsidRPr="00986848">
              <w:rPr>
                <w:rFonts w:ascii="Roboto Light" w:eastAsia="Roboto Light" w:hAnsi="Roboto Light" w:cs="Roboto Light"/>
                <w:sz w:val="20"/>
                <w:szCs w:val="20"/>
              </w:rPr>
              <w:t>licence</w:t>
            </w:r>
            <w:proofErr w:type="spellEnd"/>
            <w:r w:rsidRPr="00986848">
              <w:rPr>
                <w:rFonts w:ascii="Roboto Light" w:eastAsia="Roboto Light" w:hAnsi="Roboto Light" w:cs="Roboto Light"/>
                <w:sz w:val="20"/>
                <w:szCs w:val="20"/>
              </w:rPr>
              <w:t xml:space="preserve"> fees, applied per </w:t>
            </w:r>
            <w:proofErr w:type="spellStart"/>
            <w:r w:rsidRPr="00986848">
              <w:rPr>
                <w:rFonts w:ascii="Roboto Light" w:eastAsia="Roboto Light" w:hAnsi="Roboto Light" w:cs="Roboto Light"/>
                <w:sz w:val="20"/>
                <w:szCs w:val="20"/>
              </w:rPr>
              <w:t>licence</w:t>
            </w:r>
            <w:proofErr w:type="spellEnd"/>
            <w:r w:rsidRPr="00986848">
              <w:rPr>
                <w:rFonts w:ascii="Roboto Light" w:eastAsia="Roboto Light" w:hAnsi="Roboto Light" w:cs="Roboto Light"/>
                <w:sz w:val="20"/>
                <w:szCs w:val="20"/>
              </w:rPr>
              <w:t>, not per Earth</w:t>
            </w:r>
          </w:p>
          <w:p w14:paraId="7ACFBF21" w14:textId="158165A3" w:rsidR="00FD774C" w:rsidRDefault="00986848" w:rsidP="00986848">
            <w:pPr>
              <w:rPr>
                <w:rFonts w:ascii="Roboto Light" w:eastAsia="Roboto Light" w:hAnsi="Roboto Light" w:cs="Roboto Light"/>
                <w:sz w:val="20"/>
                <w:szCs w:val="20"/>
              </w:rPr>
            </w:pPr>
            <w:r w:rsidRPr="00986848">
              <w:rPr>
                <w:rFonts w:ascii="Roboto Light" w:eastAsia="Roboto Light" w:hAnsi="Roboto Light" w:cs="Roboto Light"/>
                <w:sz w:val="20"/>
                <w:szCs w:val="20"/>
              </w:rPr>
              <w:t>Station</w:t>
            </w:r>
            <w:r>
              <w:rPr>
                <w:rFonts w:ascii="Roboto Light" w:eastAsia="Roboto Light" w:hAnsi="Roboto Light" w:cs="Roboto Light"/>
                <w:sz w:val="20"/>
                <w:szCs w:val="20"/>
              </w:rPr>
              <w:t xml:space="preserve"> in the Table above Question 5 in the Consultation document.</w:t>
            </w:r>
          </w:p>
        </w:tc>
      </w:tr>
      <w:tr w:rsidR="00FD774C" w14:paraId="3981D557" w14:textId="77777777" w:rsidTr="00F11FCF">
        <w:tc>
          <w:tcPr>
            <w:tcW w:w="570" w:type="dxa"/>
          </w:tcPr>
          <w:p w14:paraId="655C4043"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Q6</w:t>
            </w:r>
          </w:p>
        </w:tc>
        <w:tc>
          <w:tcPr>
            <w:tcW w:w="3295" w:type="dxa"/>
          </w:tcPr>
          <w:p w14:paraId="1F1A3065"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Kindly comment on the section above and on the proposal for blanket licensing with a fee for a set number of terminals under a new proposed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 xml:space="preserve"> regime to be referred to as “Satellite User Station Network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 If possible, please provide a breakdown of the number of terminals with the corresponding spectrum fee values in South African</w:t>
            </w:r>
          </w:p>
          <w:p w14:paraId="4ABF554D"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Rands.</w:t>
            </w:r>
          </w:p>
        </w:tc>
        <w:tc>
          <w:tcPr>
            <w:tcW w:w="5660" w:type="dxa"/>
          </w:tcPr>
          <w:p w14:paraId="2938572C" w14:textId="75642310"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Skylo agrees with the proposed </w:t>
            </w:r>
            <w:r w:rsidR="00986848">
              <w:rPr>
                <w:rFonts w:ascii="Roboto Light" w:eastAsia="Roboto Light" w:hAnsi="Roboto Light" w:cs="Roboto Light"/>
                <w:sz w:val="20"/>
                <w:szCs w:val="20"/>
              </w:rPr>
              <w:t>S</w:t>
            </w:r>
            <w:r>
              <w:rPr>
                <w:rFonts w:ascii="Roboto Light" w:eastAsia="Roboto Light" w:hAnsi="Roboto Light" w:cs="Roboto Light"/>
                <w:sz w:val="20"/>
                <w:szCs w:val="20"/>
              </w:rPr>
              <w:t xml:space="preserve">atellite </w:t>
            </w:r>
            <w:r w:rsidR="00986848">
              <w:rPr>
                <w:rFonts w:ascii="Roboto Light" w:eastAsia="Roboto Light" w:hAnsi="Roboto Light" w:cs="Roboto Light"/>
                <w:sz w:val="20"/>
                <w:szCs w:val="20"/>
              </w:rPr>
              <w:t>U</w:t>
            </w:r>
            <w:r>
              <w:rPr>
                <w:rFonts w:ascii="Roboto Light" w:eastAsia="Roboto Light" w:hAnsi="Roboto Light" w:cs="Roboto Light"/>
                <w:sz w:val="20"/>
                <w:szCs w:val="20"/>
              </w:rPr>
              <w:t xml:space="preserve">ser </w:t>
            </w:r>
            <w:r w:rsidR="00986848">
              <w:rPr>
                <w:rFonts w:ascii="Roboto Light" w:eastAsia="Roboto Light" w:hAnsi="Roboto Light" w:cs="Roboto Light"/>
                <w:sz w:val="20"/>
                <w:szCs w:val="20"/>
              </w:rPr>
              <w:t>S</w:t>
            </w:r>
            <w:r>
              <w:rPr>
                <w:rFonts w:ascii="Roboto Light" w:eastAsia="Roboto Light" w:hAnsi="Roboto Light" w:cs="Roboto Light"/>
                <w:sz w:val="20"/>
                <w:szCs w:val="20"/>
              </w:rPr>
              <w:t xml:space="preserve">tation </w:t>
            </w:r>
            <w:r w:rsidR="00986848">
              <w:rPr>
                <w:rFonts w:ascii="Roboto Light" w:eastAsia="Roboto Light" w:hAnsi="Roboto Light" w:cs="Roboto Light"/>
                <w:sz w:val="20"/>
                <w:szCs w:val="20"/>
              </w:rPr>
              <w:t>N</w:t>
            </w:r>
            <w:r>
              <w:rPr>
                <w:rFonts w:ascii="Roboto Light" w:eastAsia="Roboto Light" w:hAnsi="Roboto Light" w:cs="Roboto Light"/>
                <w:sz w:val="20"/>
                <w:szCs w:val="20"/>
              </w:rPr>
              <w:t xml:space="preserve">etwork </w:t>
            </w:r>
            <w:proofErr w:type="spellStart"/>
            <w:r w:rsidR="00986848">
              <w:rPr>
                <w:rFonts w:ascii="Roboto Light" w:eastAsia="Roboto Light" w:hAnsi="Roboto Light" w:cs="Roboto Light"/>
                <w:sz w:val="20"/>
                <w:szCs w:val="20"/>
              </w:rPr>
              <w:t>L</w:t>
            </w:r>
            <w:r>
              <w:rPr>
                <w:rFonts w:ascii="Roboto Light" w:eastAsia="Roboto Light" w:hAnsi="Roboto Light" w:cs="Roboto Light"/>
                <w:sz w:val="20"/>
                <w:szCs w:val="20"/>
              </w:rPr>
              <w:t>icence</w:t>
            </w:r>
            <w:proofErr w:type="spellEnd"/>
            <w:r>
              <w:rPr>
                <w:rFonts w:ascii="Roboto Light" w:eastAsia="Roboto Light" w:hAnsi="Roboto Light" w:cs="Roboto Light"/>
                <w:sz w:val="20"/>
                <w:szCs w:val="20"/>
              </w:rPr>
              <w:t xml:space="preserve"> or a blanket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 xml:space="preserve">. However, the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 xml:space="preserve"> fee for wireless stations operating under satellite services should be imposed based on a per </w:t>
            </w:r>
            <w:proofErr w:type="spellStart"/>
            <w:r>
              <w:rPr>
                <w:rFonts w:ascii="Roboto Light" w:eastAsia="Roboto Light" w:hAnsi="Roboto Light" w:cs="Roboto Light"/>
                <w:sz w:val="20"/>
                <w:szCs w:val="20"/>
              </w:rPr>
              <w:t>licence</w:t>
            </w:r>
            <w:proofErr w:type="spellEnd"/>
            <w:r>
              <w:rPr>
                <w:rFonts w:ascii="Roboto Light" w:eastAsia="Roboto Light" w:hAnsi="Roboto Light" w:cs="Roboto Light"/>
                <w:sz w:val="20"/>
                <w:szCs w:val="20"/>
              </w:rPr>
              <w:t xml:space="preserve"> basis instead of on a per station basis. This is especially important because as more and more devices with both terrestrial and satellite connectivity are </w:t>
            </w:r>
            <w:r w:rsidR="008D0A75">
              <w:rPr>
                <w:rFonts w:ascii="Roboto Light" w:eastAsia="Roboto Light" w:hAnsi="Roboto Light" w:cs="Roboto Light"/>
                <w:sz w:val="20"/>
                <w:szCs w:val="20"/>
              </w:rPr>
              <w:t xml:space="preserve">being </w:t>
            </w:r>
            <w:r>
              <w:rPr>
                <w:rFonts w:ascii="Roboto Light" w:eastAsia="Roboto Light" w:hAnsi="Roboto Light" w:cs="Roboto Light"/>
                <w:sz w:val="20"/>
                <w:szCs w:val="20"/>
              </w:rPr>
              <w:t xml:space="preserve">brought to market, there will be more ‘stations’ (i.e., devices) that have connectivity through the NTN component but may not be using the satellite component nearly as much as the terrestrial component. </w:t>
            </w:r>
          </w:p>
          <w:p w14:paraId="7174F18C" w14:textId="77777777" w:rsidR="00FD774C" w:rsidRDefault="00FD774C">
            <w:pPr>
              <w:rPr>
                <w:rFonts w:ascii="Roboto Light" w:eastAsia="Roboto Light" w:hAnsi="Roboto Light" w:cs="Roboto Light"/>
                <w:sz w:val="20"/>
                <w:szCs w:val="20"/>
              </w:rPr>
            </w:pPr>
          </w:p>
          <w:p w14:paraId="2E637B66" w14:textId="20FFE88B"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Because 3GPP standardized NTN devices will quickly become ubiquitous and will be in the same hand-held devices used for terrestrial cellular communications, we encourage ICASA to not assess additional fees </w:t>
            </w:r>
            <w:r w:rsidR="008D0A75">
              <w:rPr>
                <w:rFonts w:ascii="Roboto Light" w:eastAsia="Roboto Light" w:hAnsi="Roboto Light" w:cs="Roboto Light"/>
                <w:sz w:val="20"/>
                <w:szCs w:val="20"/>
              </w:rPr>
              <w:t xml:space="preserve">just </w:t>
            </w:r>
            <w:r>
              <w:rPr>
                <w:rFonts w:ascii="Roboto Light" w:eastAsia="Roboto Light" w:hAnsi="Roboto Light" w:cs="Roboto Light"/>
                <w:sz w:val="20"/>
                <w:szCs w:val="20"/>
              </w:rPr>
              <w:t>because these devices can provide both terrestrial cellular and satellite access. The public policy benefits of access to emergency, location-based, and messaging service</w:t>
            </w:r>
            <w:r w:rsidR="008D0A75">
              <w:rPr>
                <w:rFonts w:ascii="Roboto Light" w:eastAsia="Roboto Light" w:hAnsi="Roboto Light" w:cs="Roboto Light"/>
                <w:sz w:val="20"/>
                <w:szCs w:val="20"/>
              </w:rPr>
              <w:t>s</w:t>
            </w:r>
            <w:r>
              <w:rPr>
                <w:rFonts w:ascii="Roboto Light" w:eastAsia="Roboto Light" w:hAnsi="Roboto Light" w:cs="Roboto Light"/>
                <w:sz w:val="20"/>
                <w:szCs w:val="20"/>
              </w:rPr>
              <w:t xml:space="preserve"> </w:t>
            </w:r>
            <w:r w:rsidR="008D0A75">
              <w:rPr>
                <w:rFonts w:ascii="Roboto Light" w:eastAsia="Roboto Light" w:hAnsi="Roboto Light" w:cs="Roboto Light"/>
                <w:sz w:val="20"/>
                <w:szCs w:val="20"/>
              </w:rPr>
              <w:t xml:space="preserve">anywhere – even </w:t>
            </w:r>
            <w:r>
              <w:rPr>
                <w:rFonts w:ascii="Roboto Light" w:eastAsia="Roboto Light" w:hAnsi="Roboto Light" w:cs="Roboto Light"/>
                <w:sz w:val="20"/>
                <w:szCs w:val="20"/>
              </w:rPr>
              <w:t xml:space="preserve">when outside the coverage of terrestrial networks </w:t>
            </w:r>
            <w:r w:rsidR="008D0A75">
              <w:rPr>
                <w:rFonts w:ascii="Roboto Light" w:eastAsia="Roboto Light" w:hAnsi="Roboto Light" w:cs="Roboto Light"/>
                <w:sz w:val="20"/>
                <w:szCs w:val="20"/>
              </w:rPr>
              <w:t xml:space="preserve">-- </w:t>
            </w:r>
            <w:r>
              <w:rPr>
                <w:rFonts w:ascii="Roboto Light" w:eastAsia="Roboto Light" w:hAnsi="Roboto Light" w:cs="Roboto Light"/>
                <w:sz w:val="20"/>
                <w:szCs w:val="20"/>
              </w:rPr>
              <w:t>far outweigh any possible monetary benefit to the government from fees on satellite connectivity.</w:t>
            </w:r>
            <w:r w:rsidR="008D0A75">
              <w:rPr>
                <w:rFonts w:ascii="Roboto Light" w:eastAsia="Roboto Light" w:hAnsi="Roboto Light" w:cs="Roboto Light"/>
                <w:sz w:val="20"/>
                <w:szCs w:val="20"/>
              </w:rPr>
              <w:t xml:space="preserve">  As mentioned earlier, this ubiquitous connectivity will benefit those who are the most unconnected </w:t>
            </w:r>
            <w:r w:rsidR="00E079E2">
              <w:rPr>
                <w:rFonts w:ascii="Roboto Light" w:eastAsia="Roboto Light" w:hAnsi="Roboto Light" w:cs="Roboto Light"/>
                <w:sz w:val="20"/>
                <w:szCs w:val="20"/>
              </w:rPr>
              <w:t xml:space="preserve">and vulnerable </w:t>
            </w:r>
            <w:r w:rsidR="008D0A75">
              <w:rPr>
                <w:rFonts w:ascii="Roboto Light" w:eastAsia="Roboto Light" w:hAnsi="Roboto Light" w:cs="Roboto Light"/>
                <w:sz w:val="20"/>
                <w:szCs w:val="20"/>
              </w:rPr>
              <w:t xml:space="preserve">in South Africa. </w:t>
            </w:r>
          </w:p>
        </w:tc>
      </w:tr>
      <w:tr w:rsidR="00FD774C" w14:paraId="26CA80A1" w14:textId="77777777" w:rsidTr="00F11FCF">
        <w:tc>
          <w:tcPr>
            <w:tcW w:w="570" w:type="dxa"/>
          </w:tcPr>
          <w:p w14:paraId="44E249EA"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Q7</w:t>
            </w:r>
          </w:p>
        </w:tc>
        <w:tc>
          <w:tcPr>
            <w:tcW w:w="3295" w:type="dxa"/>
          </w:tcPr>
          <w:p w14:paraId="383A71A5"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Kindly comment on the appropriateness of using regulation 37 of the ICASA radio regulations (“Recognition of </w:t>
            </w:r>
            <w:proofErr w:type="spellStart"/>
            <w:r>
              <w:rPr>
                <w:rFonts w:ascii="Roboto Light" w:eastAsia="Roboto Light" w:hAnsi="Roboto Light" w:cs="Roboto Light"/>
                <w:sz w:val="20"/>
                <w:szCs w:val="20"/>
              </w:rPr>
              <w:t>licences</w:t>
            </w:r>
            <w:proofErr w:type="spellEnd"/>
            <w:r>
              <w:rPr>
                <w:rFonts w:ascii="Roboto Light" w:eastAsia="Roboto Light" w:hAnsi="Roboto Light" w:cs="Roboto Light"/>
                <w:sz w:val="20"/>
                <w:szCs w:val="20"/>
              </w:rPr>
              <w:t xml:space="preserve"> issued by other countries”) to recognize ESIM </w:t>
            </w:r>
            <w:proofErr w:type="spellStart"/>
            <w:r>
              <w:rPr>
                <w:rFonts w:ascii="Roboto Light" w:eastAsia="Roboto Light" w:hAnsi="Roboto Light" w:cs="Roboto Light"/>
                <w:sz w:val="20"/>
                <w:szCs w:val="20"/>
              </w:rPr>
              <w:t>licences</w:t>
            </w:r>
            <w:proofErr w:type="spellEnd"/>
            <w:r>
              <w:rPr>
                <w:rFonts w:ascii="Roboto Light" w:eastAsia="Roboto Light" w:hAnsi="Roboto Light" w:cs="Roboto Light"/>
                <w:sz w:val="20"/>
                <w:szCs w:val="20"/>
              </w:rPr>
              <w:t xml:space="preserve"> issued by other countries.</w:t>
            </w:r>
          </w:p>
        </w:tc>
        <w:tc>
          <w:tcPr>
            <w:tcW w:w="5660" w:type="dxa"/>
          </w:tcPr>
          <w:p w14:paraId="3526A667" w14:textId="1AF9EE05" w:rsidR="00FD774C" w:rsidRDefault="00E079E2" w:rsidP="00E079E2">
            <w:pPr>
              <w:rPr>
                <w:rFonts w:ascii="Roboto Light" w:eastAsia="Roboto Light" w:hAnsi="Roboto Light" w:cs="Roboto Light"/>
                <w:sz w:val="20"/>
                <w:szCs w:val="20"/>
              </w:rPr>
            </w:pPr>
            <w:r>
              <w:rPr>
                <w:rFonts w:ascii="Roboto Light" w:eastAsia="Roboto Light" w:hAnsi="Roboto Light" w:cs="Roboto Light"/>
                <w:sz w:val="20"/>
                <w:szCs w:val="20"/>
              </w:rPr>
              <w:t xml:space="preserve">Skylo encourages ICASA to </w:t>
            </w:r>
            <w:r w:rsidRPr="00E079E2">
              <w:rPr>
                <w:rFonts w:ascii="Roboto Light" w:eastAsia="Roboto Light" w:hAnsi="Roboto Light" w:cs="Roboto Light"/>
                <w:sz w:val="20"/>
                <w:szCs w:val="20"/>
              </w:rPr>
              <w:t>implement</w:t>
            </w:r>
            <w:r>
              <w:rPr>
                <w:rFonts w:ascii="Roboto Light" w:eastAsia="Roboto Light" w:hAnsi="Roboto Light" w:cs="Roboto Light"/>
                <w:sz w:val="20"/>
                <w:szCs w:val="20"/>
              </w:rPr>
              <w:t xml:space="preserve"> a framework </w:t>
            </w:r>
            <w:r w:rsidR="007F7CEC">
              <w:rPr>
                <w:rFonts w:ascii="Roboto Light" w:eastAsia="Roboto Light" w:hAnsi="Roboto Light" w:cs="Roboto Light"/>
                <w:sz w:val="20"/>
                <w:szCs w:val="20"/>
              </w:rPr>
              <w:t>that allows not only</w:t>
            </w:r>
            <w:r w:rsidRPr="00E079E2">
              <w:rPr>
                <w:rFonts w:ascii="Roboto Light" w:eastAsia="Roboto Light" w:hAnsi="Roboto Light" w:cs="Roboto Light"/>
                <w:sz w:val="20"/>
                <w:szCs w:val="20"/>
              </w:rPr>
              <w:t xml:space="preserve"> the free circulation of ESIM devices </w:t>
            </w:r>
            <w:r w:rsidR="007F7CEC">
              <w:rPr>
                <w:rFonts w:ascii="Roboto Light" w:eastAsia="Roboto Light" w:hAnsi="Roboto Light" w:cs="Roboto Light"/>
                <w:sz w:val="20"/>
                <w:szCs w:val="20"/>
              </w:rPr>
              <w:t>but also other devices, particularly NTN devices, that may be brought into South Africa for short-term duration.</w:t>
            </w:r>
          </w:p>
        </w:tc>
      </w:tr>
      <w:tr w:rsidR="00FD774C" w14:paraId="36174825" w14:textId="77777777" w:rsidTr="00F11FCF">
        <w:tc>
          <w:tcPr>
            <w:tcW w:w="570" w:type="dxa"/>
          </w:tcPr>
          <w:p w14:paraId="41B577B4"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Q8</w:t>
            </w:r>
          </w:p>
        </w:tc>
        <w:tc>
          <w:tcPr>
            <w:tcW w:w="3295" w:type="dxa"/>
          </w:tcPr>
          <w:p w14:paraId="69BE1EB6"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 xml:space="preserve">Please provide your comments and details of the best practices in other jurisdictions to fulfill the intentions of the Authority as indicated in the above section. Furthermore, considering the </w:t>
            </w:r>
            <w:r>
              <w:rPr>
                <w:rFonts w:ascii="Roboto Light" w:eastAsia="Roboto Light" w:hAnsi="Roboto Light" w:cs="Roboto Light"/>
                <w:sz w:val="20"/>
                <w:szCs w:val="20"/>
              </w:rPr>
              <w:lastRenderedPageBreak/>
              <w:t>provision set out in the Astronomy Geographic Advantage (AGA) Act of 2007, and the requirements of the Radio Quiet Zone, what measures and techniques do you propose to be employed in mitigating the possible interference that may be caused by the satellites within the Astronomy radio frequency bands in South Africa?</w:t>
            </w:r>
          </w:p>
        </w:tc>
        <w:tc>
          <w:tcPr>
            <w:tcW w:w="5660" w:type="dxa"/>
          </w:tcPr>
          <w:p w14:paraId="3DAD22A7"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lastRenderedPageBreak/>
              <w:t>Skylo supports ICASA's proposal to avoid imposing landing rights and local gateway obligations on space station operators. This eliminates unnecessary infrastructure, reduces operational complexity, and promotes a more streamlined and efficient satellite communications environment in South Africa.</w:t>
            </w:r>
          </w:p>
        </w:tc>
      </w:tr>
      <w:tr w:rsidR="00FD774C" w14:paraId="51EBFB0D" w14:textId="77777777" w:rsidTr="00F11FCF">
        <w:tc>
          <w:tcPr>
            <w:tcW w:w="570" w:type="dxa"/>
          </w:tcPr>
          <w:p w14:paraId="3637875D"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lastRenderedPageBreak/>
              <w:t>Q9</w:t>
            </w:r>
          </w:p>
        </w:tc>
        <w:tc>
          <w:tcPr>
            <w:tcW w:w="3295" w:type="dxa"/>
          </w:tcPr>
          <w:p w14:paraId="0B50BF0C" w14:textId="77777777" w:rsidR="00FD774C" w:rsidRDefault="00000000">
            <w:pPr>
              <w:rPr>
                <w:rFonts w:ascii="Roboto Light" w:eastAsia="Roboto Light" w:hAnsi="Roboto Light" w:cs="Roboto Light"/>
                <w:sz w:val="20"/>
                <w:szCs w:val="20"/>
              </w:rPr>
            </w:pPr>
            <w:r>
              <w:rPr>
                <w:rFonts w:ascii="Roboto Light" w:eastAsia="Roboto Light" w:hAnsi="Roboto Light" w:cs="Roboto Light"/>
                <w:sz w:val="20"/>
                <w:szCs w:val="20"/>
              </w:rPr>
              <w:t>Please provide proposals on the role the Satellite operators can play in ensuring that broadband connectivity reaches the areas of the country in terms of community networks with Satellite connectivity as a backhaul.</w:t>
            </w:r>
          </w:p>
          <w:p w14:paraId="33BDF50B" w14:textId="77777777" w:rsidR="00FD774C" w:rsidRDefault="00FD774C">
            <w:pPr>
              <w:rPr>
                <w:rFonts w:ascii="Roboto Light" w:eastAsia="Roboto Light" w:hAnsi="Roboto Light" w:cs="Roboto Light"/>
                <w:sz w:val="20"/>
                <w:szCs w:val="20"/>
              </w:rPr>
            </w:pPr>
          </w:p>
          <w:p w14:paraId="196E7DFE" w14:textId="77777777" w:rsidR="00FD774C" w:rsidRDefault="00000000">
            <w:pPr>
              <w:rPr>
                <w:rFonts w:ascii="Roboto Light" w:eastAsia="Roboto Light" w:hAnsi="Roboto Light" w:cs="Roboto Light"/>
                <w:sz w:val="20"/>
                <w:szCs w:val="20"/>
                <w:highlight w:val="yellow"/>
              </w:rPr>
            </w:pPr>
            <w:r>
              <w:rPr>
                <w:rFonts w:ascii="Roboto Light" w:eastAsia="Roboto Light" w:hAnsi="Roboto Light" w:cs="Roboto Light"/>
                <w:sz w:val="20"/>
                <w:szCs w:val="20"/>
              </w:rPr>
              <w:t>Kindly provide a regulatory solution that can be applied by Satellite operators to address the shortcomings of terrestrial networks in providing to unserved and underserved areas of the country. This may include collaboration with government programs to reach out to those unserved and underserved areas of the country.</w:t>
            </w:r>
          </w:p>
        </w:tc>
        <w:tc>
          <w:tcPr>
            <w:tcW w:w="5660" w:type="dxa"/>
          </w:tcPr>
          <w:p w14:paraId="35FCAD57" w14:textId="4793E9AF" w:rsidR="005C49ED" w:rsidRDefault="008B07A0">
            <w:pPr>
              <w:rPr>
                <w:rFonts w:ascii="Roboto Light" w:eastAsia="Roboto Light" w:hAnsi="Roboto Light" w:cs="Roboto Light"/>
                <w:sz w:val="20"/>
                <w:szCs w:val="20"/>
              </w:rPr>
            </w:pPr>
            <w:r>
              <w:rPr>
                <w:rFonts w:ascii="Roboto Light" w:eastAsia="Roboto Light" w:hAnsi="Roboto Light" w:cs="Roboto Light"/>
                <w:sz w:val="20"/>
                <w:szCs w:val="20"/>
              </w:rPr>
              <w:t>Skylo agrees that</w:t>
            </w:r>
            <w:r w:rsidR="00A37F3C">
              <w:rPr>
                <w:rFonts w:ascii="Roboto Light" w:eastAsia="Roboto Light" w:hAnsi="Roboto Light" w:cs="Roboto Light"/>
                <w:sz w:val="20"/>
                <w:szCs w:val="20"/>
              </w:rPr>
              <w:t xml:space="preserve"> broadband satellite connectivity certainly can benefit communities with little or no access to the Internet, </w:t>
            </w:r>
            <w:r>
              <w:rPr>
                <w:rFonts w:ascii="Roboto Light" w:eastAsia="Roboto Light" w:hAnsi="Roboto Light" w:cs="Roboto Light"/>
                <w:sz w:val="20"/>
                <w:szCs w:val="20"/>
              </w:rPr>
              <w:t xml:space="preserve">but </w:t>
            </w:r>
            <w:r w:rsidR="00A37F3C">
              <w:rPr>
                <w:rFonts w:ascii="Roboto Light" w:eastAsia="Roboto Light" w:hAnsi="Roboto Light" w:cs="Roboto Light"/>
                <w:sz w:val="20"/>
                <w:szCs w:val="20"/>
              </w:rPr>
              <w:t xml:space="preserve">Skylo </w:t>
            </w:r>
            <w:r w:rsidR="00D807A0">
              <w:rPr>
                <w:rFonts w:ascii="Roboto Light" w:eastAsia="Roboto Light" w:hAnsi="Roboto Light" w:cs="Roboto Light"/>
                <w:sz w:val="20"/>
                <w:szCs w:val="20"/>
              </w:rPr>
              <w:t xml:space="preserve">would like to emphasize the critical role that satellite </w:t>
            </w:r>
            <w:r w:rsidR="00A37F3C">
              <w:rPr>
                <w:rFonts w:ascii="Roboto Light" w:eastAsia="Roboto Light" w:hAnsi="Roboto Light" w:cs="Roboto Light"/>
                <w:sz w:val="20"/>
                <w:szCs w:val="20"/>
              </w:rPr>
              <w:t>narrowband connectivity</w:t>
            </w:r>
            <w:r w:rsidR="00D807A0">
              <w:rPr>
                <w:rFonts w:ascii="Roboto Light" w:eastAsia="Roboto Light" w:hAnsi="Roboto Light" w:cs="Roboto Light"/>
                <w:sz w:val="20"/>
                <w:szCs w:val="20"/>
              </w:rPr>
              <w:t xml:space="preserve"> provides as well.  </w:t>
            </w:r>
            <w:proofErr w:type="spellStart"/>
            <w:r w:rsidR="00D807A0">
              <w:rPr>
                <w:rFonts w:ascii="Roboto Light" w:eastAsia="Roboto Light" w:hAnsi="Roboto Light" w:cs="Roboto Light"/>
                <w:sz w:val="20"/>
                <w:szCs w:val="20"/>
              </w:rPr>
              <w:t>Skylo’s</w:t>
            </w:r>
            <w:proofErr w:type="spellEnd"/>
            <w:r w:rsidR="00D807A0">
              <w:rPr>
                <w:rFonts w:ascii="Roboto Light" w:eastAsia="Roboto Light" w:hAnsi="Roboto Light" w:cs="Roboto Light"/>
                <w:sz w:val="20"/>
                <w:szCs w:val="20"/>
              </w:rPr>
              <w:t xml:space="preserve"> system</w:t>
            </w:r>
            <w:r w:rsidR="00A37F3C">
              <w:rPr>
                <w:rFonts w:ascii="Roboto Light" w:eastAsia="Roboto Light" w:hAnsi="Roboto Light" w:cs="Roboto Light"/>
                <w:sz w:val="20"/>
                <w:szCs w:val="20"/>
              </w:rPr>
              <w:t xml:space="preserve"> us</w:t>
            </w:r>
            <w:r w:rsidR="00D807A0">
              <w:rPr>
                <w:rFonts w:ascii="Roboto Light" w:eastAsia="Roboto Light" w:hAnsi="Roboto Light" w:cs="Roboto Light"/>
                <w:sz w:val="20"/>
                <w:szCs w:val="20"/>
              </w:rPr>
              <w:t>es</w:t>
            </w:r>
            <w:r w:rsidR="00A37F3C">
              <w:rPr>
                <w:rFonts w:ascii="Roboto Light" w:eastAsia="Roboto Light" w:hAnsi="Roboto Light" w:cs="Roboto Light"/>
                <w:sz w:val="20"/>
                <w:szCs w:val="20"/>
              </w:rPr>
              <w:t xml:space="preserve"> 3GPP standardized NTN devices that are the same</w:t>
            </w:r>
            <w:r w:rsidR="00D807A0">
              <w:rPr>
                <w:rFonts w:ascii="Roboto Light" w:eastAsia="Roboto Light" w:hAnsi="Roboto Light" w:cs="Roboto Light"/>
                <w:sz w:val="20"/>
                <w:szCs w:val="20"/>
              </w:rPr>
              <w:t xml:space="preserve"> as</w:t>
            </w:r>
            <w:r w:rsidR="00A37F3C">
              <w:rPr>
                <w:rFonts w:ascii="Roboto Light" w:eastAsia="Roboto Light" w:hAnsi="Roboto Light" w:cs="Roboto Light"/>
                <w:sz w:val="20"/>
                <w:szCs w:val="20"/>
              </w:rPr>
              <w:t xml:space="preserve"> terrestrial cellular devices on the market</w:t>
            </w:r>
            <w:r w:rsidR="00D807A0">
              <w:rPr>
                <w:rFonts w:ascii="Roboto Light" w:eastAsia="Roboto Light" w:hAnsi="Roboto Light" w:cs="Roboto Light"/>
                <w:sz w:val="20"/>
                <w:szCs w:val="20"/>
              </w:rPr>
              <w:t xml:space="preserve"> but have the added satellite capability for emergency SOS, location-based, and messaging services when outside the coverage of terrestrial networks</w:t>
            </w:r>
            <w:r w:rsidR="00F369FE">
              <w:rPr>
                <w:rFonts w:ascii="Roboto Light" w:eastAsia="Roboto Light" w:hAnsi="Roboto Light" w:cs="Roboto Light"/>
                <w:sz w:val="20"/>
                <w:szCs w:val="20"/>
              </w:rPr>
              <w:t>. When terrestrial networks are inoperable for whatever reason, being able to communicate with the same device normally used for cellular connectivity but by satellite becomes even more important. For example, the introduction of Skylo in all Google Pixel 9 smartphones</w:t>
            </w:r>
            <w:r w:rsidR="005C49ED">
              <w:rPr>
                <w:rFonts w:ascii="Roboto Light" w:eastAsia="Roboto Light" w:hAnsi="Roboto Light" w:cs="Roboto Light"/>
                <w:sz w:val="20"/>
                <w:szCs w:val="20"/>
              </w:rPr>
              <w:t xml:space="preserve"> gave Pixel 9 customers the option to access emergency SOS services even when the terrestrial networks were knocked out during recent natural disasters in the United States</w:t>
            </w:r>
            <w:r w:rsidR="00F369FE">
              <w:rPr>
                <w:rFonts w:ascii="Roboto Light" w:eastAsia="Roboto Light" w:hAnsi="Roboto Light" w:cs="Roboto Light"/>
                <w:sz w:val="20"/>
                <w:szCs w:val="20"/>
              </w:rPr>
              <w:t>.</w:t>
            </w:r>
            <w:r w:rsidR="005C49ED">
              <w:rPr>
                <w:rFonts w:ascii="Roboto Light" w:eastAsia="Roboto Light" w:hAnsi="Roboto Light" w:cs="Roboto Light"/>
                <w:sz w:val="20"/>
                <w:szCs w:val="20"/>
              </w:rPr>
              <w:t xml:space="preserve"> Those same customers could also send their location and messages to </w:t>
            </w:r>
            <w:proofErr w:type="gramStart"/>
            <w:r w:rsidR="005C49ED">
              <w:rPr>
                <w:rFonts w:ascii="Roboto Light" w:eastAsia="Roboto Light" w:hAnsi="Roboto Light" w:cs="Roboto Light"/>
                <w:sz w:val="20"/>
                <w:szCs w:val="20"/>
              </w:rPr>
              <w:t>loved</w:t>
            </w:r>
            <w:proofErr w:type="gramEnd"/>
            <w:r w:rsidR="005C49ED">
              <w:rPr>
                <w:rFonts w:ascii="Roboto Light" w:eastAsia="Roboto Light" w:hAnsi="Roboto Light" w:cs="Roboto Light"/>
                <w:sz w:val="20"/>
                <w:szCs w:val="20"/>
              </w:rPr>
              <w:t xml:space="preserve"> ones using Skylo connectivity on their Pixel 9 phones.</w:t>
            </w:r>
            <w:r w:rsidR="00F369FE">
              <w:rPr>
                <w:rFonts w:ascii="Roboto Light" w:eastAsia="Roboto Light" w:hAnsi="Roboto Light" w:cs="Roboto Light"/>
                <w:sz w:val="20"/>
                <w:szCs w:val="20"/>
              </w:rPr>
              <w:t xml:space="preserve">  </w:t>
            </w:r>
          </w:p>
          <w:p w14:paraId="770225FE" w14:textId="77777777" w:rsidR="005C49ED" w:rsidRDefault="005C49ED">
            <w:pPr>
              <w:rPr>
                <w:rFonts w:ascii="Roboto Light" w:eastAsia="Roboto Light" w:hAnsi="Roboto Light" w:cs="Roboto Light"/>
                <w:sz w:val="20"/>
                <w:szCs w:val="20"/>
              </w:rPr>
            </w:pPr>
          </w:p>
          <w:p w14:paraId="3EE42854" w14:textId="605EBA92" w:rsidR="00F369FE" w:rsidRDefault="005C49ED">
            <w:pPr>
              <w:rPr>
                <w:rFonts w:ascii="Roboto Light" w:eastAsia="Roboto Light" w:hAnsi="Roboto Light" w:cs="Roboto Light"/>
                <w:sz w:val="20"/>
                <w:szCs w:val="20"/>
              </w:rPr>
            </w:pPr>
            <w:r>
              <w:rPr>
                <w:rFonts w:ascii="Roboto Light" w:eastAsia="Roboto Light" w:hAnsi="Roboto Light" w:cs="Roboto Light"/>
                <w:sz w:val="20"/>
                <w:szCs w:val="20"/>
              </w:rPr>
              <w:t>W</w:t>
            </w:r>
            <w:r w:rsidR="00F369FE">
              <w:rPr>
                <w:rFonts w:ascii="Roboto Light" w:eastAsia="Roboto Light" w:hAnsi="Roboto Light" w:cs="Roboto Light"/>
                <w:sz w:val="20"/>
                <w:szCs w:val="20"/>
              </w:rPr>
              <w:t xml:space="preserve">hile South Africa has very high cellular phone penetration by population, there are large areas within the country where terrestrial networks do not reach or are not economically viable so NTN D2D services offer a crucial enhancement for hand-held connectivity across South Africa, </w:t>
            </w:r>
            <w:r>
              <w:rPr>
                <w:rFonts w:ascii="Roboto Light" w:eastAsia="Roboto Light" w:hAnsi="Roboto Light" w:cs="Roboto Light"/>
                <w:sz w:val="20"/>
                <w:szCs w:val="20"/>
              </w:rPr>
              <w:t xml:space="preserve">particularly </w:t>
            </w:r>
            <w:r w:rsidR="00F369FE">
              <w:rPr>
                <w:rFonts w:ascii="Roboto Light" w:eastAsia="Roboto Light" w:hAnsi="Roboto Light" w:cs="Roboto Light"/>
                <w:sz w:val="20"/>
                <w:szCs w:val="20"/>
              </w:rPr>
              <w:t xml:space="preserve">in geographies such as mountains, the highveld, the bushveld </w:t>
            </w:r>
            <w:r>
              <w:rPr>
                <w:rFonts w:ascii="Roboto Light" w:eastAsia="Roboto Light" w:hAnsi="Roboto Light" w:cs="Roboto Light"/>
                <w:sz w:val="20"/>
                <w:szCs w:val="20"/>
              </w:rPr>
              <w:t>and the</w:t>
            </w:r>
            <w:r w:rsidR="00F369FE">
              <w:rPr>
                <w:rFonts w:ascii="Roboto Light" w:eastAsia="Roboto Light" w:hAnsi="Roboto Light" w:cs="Roboto Light"/>
                <w:sz w:val="20"/>
                <w:szCs w:val="20"/>
              </w:rPr>
              <w:t xml:space="preserve"> desert. By providing reliable connectivity in vast regions with limited or no coverage, NTN D2D services can</w:t>
            </w:r>
            <w:r w:rsidR="008B07A0">
              <w:rPr>
                <w:rFonts w:ascii="Roboto Light" w:eastAsia="Roboto Light" w:hAnsi="Roboto Light" w:cs="Roboto Light"/>
                <w:sz w:val="20"/>
                <w:szCs w:val="20"/>
              </w:rPr>
              <w:t xml:space="preserve"> provide critical communications, not just during</w:t>
            </w:r>
            <w:r w:rsidR="00F369FE">
              <w:rPr>
                <w:rFonts w:ascii="Roboto Light" w:eastAsia="Roboto Light" w:hAnsi="Roboto Light" w:cs="Roboto Light"/>
                <w:sz w:val="20"/>
                <w:szCs w:val="20"/>
              </w:rPr>
              <w:t xml:space="preserve"> emergency and disaster responses</w:t>
            </w:r>
            <w:r w:rsidR="008B07A0">
              <w:rPr>
                <w:rFonts w:ascii="Roboto Light" w:eastAsia="Roboto Light" w:hAnsi="Roboto Light" w:cs="Roboto Light"/>
                <w:sz w:val="20"/>
                <w:szCs w:val="20"/>
              </w:rPr>
              <w:t>.</w:t>
            </w:r>
          </w:p>
        </w:tc>
      </w:tr>
    </w:tbl>
    <w:p w14:paraId="650B0813" w14:textId="77777777" w:rsidR="00FD774C" w:rsidRDefault="00FD774C">
      <w:pPr>
        <w:rPr>
          <w:rFonts w:ascii="Roboto Light" w:eastAsia="Roboto Light" w:hAnsi="Roboto Light" w:cs="Roboto Light"/>
          <w:sz w:val="20"/>
          <w:szCs w:val="20"/>
        </w:rPr>
      </w:pPr>
    </w:p>
    <w:sectPr w:rsidR="00FD774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Light">
    <w:charset w:val="00"/>
    <w:family w:val="auto"/>
    <w:pitch w:val="variable"/>
    <w:sig w:usb0="E0000AFF" w:usb1="5000217F" w:usb2="00000021" w:usb3="00000000" w:csb0="0000019F" w:csb1="00000000"/>
    <w:embedRegular r:id="rId1" w:fontKey="{00663196-D1FB-4346-A1D9-8A211C710903}"/>
    <w:embedBold r:id="rId2" w:fontKey="{E84B652E-5667-496B-9BB4-3FC9730060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F853D0AB-5DBC-4FB8-BB44-8A6FE21916FA}"/>
    <w:embedItalic r:id="rId4" w:fontKey="{88F44420-4F3E-46DE-BDAA-0BCAEE96419B}"/>
  </w:font>
  <w:font w:name="Aptos Display">
    <w:charset w:val="00"/>
    <w:family w:val="swiss"/>
    <w:pitch w:val="variable"/>
    <w:sig w:usb0="20000287" w:usb1="00000003" w:usb2="00000000" w:usb3="00000000" w:csb0="0000019F" w:csb1="00000000"/>
    <w:embedRegular r:id="rId5" w:fontKey="{30A298C8-E2E7-4720-AB2A-21EE27F7797C}"/>
  </w:font>
  <w:font w:name="Angsana New">
    <w:panose1 w:val="02020603050405020304"/>
    <w:charset w:val="00"/>
    <w:family w:val="roman"/>
    <w:pitch w:val="variable"/>
    <w:sig w:usb0="81000003" w:usb1="00000000" w:usb2="00000000" w:usb3="00000000" w:csb0="00010001" w:csb1="00000000"/>
    <w:embedRegular r:id="rId6" w:fontKey="{BAEB41B2-1606-4202-BC94-DB902B95ED94}"/>
    <w:embedItalic r:id="rId7" w:fontKey="{9A48D8F4-1C96-4354-AA35-EDEAF280D733}"/>
  </w:font>
  <w:font w:name="Roboto">
    <w:charset w:val="00"/>
    <w:family w:val="auto"/>
    <w:pitch w:val="variable"/>
    <w:sig w:usb0="E0000AFF" w:usb1="5000217F" w:usb2="00000021" w:usb3="00000000" w:csb0="0000019F" w:csb1="00000000"/>
    <w:embedRegular r:id="rId8" w:fontKey="{CE8FF69F-738F-42E7-BD27-E11F90E480EB}"/>
    <w:embedBold r:id="rId9" w:fontKey="{288C1A7E-A943-4A13-9181-D0F16351BAAA}"/>
  </w:font>
  <w:font w:name="Cordia New">
    <w:panose1 w:val="020B0304020202020204"/>
    <w:charset w:val="00"/>
    <w:family w:val="swiss"/>
    <w:pitch w:val="variable"/>
    <w:sig w:usb0="81000003" w:usb1="00000000" w:usb2="00000000" w:usb3="00000000" w:csb0="00010001" w:csb1="00000000"/>
    <w:embedRegular r:id="rId10" w:fontKey="{A934F8F6-884B-4A6E-9AAA-A11490CF51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846D97"/>
    <w:multiLevelType w:val="hybridMultilevel"/>
    <w:tmpl w:val="B84E2636"/>
    <w:lvl w:ilvl="0" w:tplc="8724F92C">
      <w:numFmt w:val="bullet"/>
      <w:lvlText w:val="-"/>
      <w:lvlJc w:val="left"/>
      <w:pPr>
        <w:ind w:left="720" w:hanging="360"/>
      </w:pPr>
      <w:rPr>
        <w:rFonts w:ascii="Roboto Light" w:eastAsia="Roboto Light" w:hAnsi="Roboto Light" w:cs="Roboto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132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74C"/>
    <w:rsid w:val="00075677"/>
    <w:rsid w:val="00326882"/>
    <w:rsid w:val="00336CEA"/>
    <w:rsid w:val="00387CE5"/>
    <w:rsid w:val="005C49ED"/>
    <w:rsid w:val="006B6A1E"/>
    <w:rsid w:val="007F7CEC"/>
    <w:rsid w:val="008B07A0"/>
    <w:rsid w:val="008D0A75"/>
    <w:rsid w:val="008E7957"/>
    <w:rsid w:val="009808AC"/>
    <w:rsid w:val="00986848"/>
    <w:rsid w:val="00A37F3C"/>
    <w:rsid w:val="00A8614D"/>
    <w:rsid w:val="00B26D20"/>
    <w:rsid w:val="00D807A0"/>
    <w:rsid w:val="00E079E2"/>
    <w:rsid w:val="00F11FCF"/>
    <w:rsid w:val="00F369FE"/>
    <w:rsid w:val="00F56BAF"/>
    <w:rsid w:val="00FD77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4F747"/>
  <w15:docId w15:val="{AA7FF1C4-F7B1-B74E-AAAA-426EC7EB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5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35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35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35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35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35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35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35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35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35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335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35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35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35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35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35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35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35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355C"/>
    <w:rPr>
      <w:rFonts w:eastAsiaTheme="majorEastAsia" w:cstheme="majorBidi"/>
      <w:color w:val="272727" w:themeColor="text1" w:themeTint="D8"/>
    </w:rPr>
  </w:style>
  <w:style w:type="character" w:customStyle="1" w:styleId="TitleChar">
    <w:name w:val="Title Char"/>
    <w:basedOn w:val="DefaultParagraphFont"/>
    <w:link w:val="Title"/>
    <w:uiPriority w:val="10"/>
    <w:rsid w:val="003335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335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55C"/>
    <w:pPr>
      <w:spacing w:before="160"/>
      <w:jc w:val="center"/>
    </w:pPr>
    <w:rPr>
      <w:i/>
      <w:iCs/>
      <w:color w:val="404040" w:themeColor="text1" w:themeTint="BF"/>
    </w:rPr>
  </w:style>
  <w:style w:type="character" w:customStyle="1" w:styleId="QuoteChar">
    <w:name w:val="Quote Char"/>
    <w:basedOn w:val="DefaultParagraphFont"/>
    <w:link w:val="Quote"/>
    <w:uiPriority w:val="29"/>
    <w:rsid w:val="0033355C"/>
    <w:rPr>
      <w:i/>
      <w:iCs/>
      <w:color w:val="404040" w:themeColor="text1" w:themeTint="BF"/>
    </w:rPr>
  </w:style>
  <w:style w:type="paragraph" w:styleId="ListParagraph">
    <w:name w:val="List Paragraph"/>
    <w:basedOn w:val="Normal"/>
    <w:uiPriority w:val="34"/>
    <w:qFormat/>
    <w:rsid w:val="0033355C"/>
    <w:pPr>
      <w:ind w:left="720"/>
      <w:contextualSpacing/>
    </w:pPr>
  </w:style>
  <w:style w:type="character" w:styleId="IntenseEmphasis">
    <w:name w:val="Intense Emphasis"/>
    <w:basedOn w:val="DefaultParagraphFont"/>
    <w:uiPriority w:val="21"/>
    <w:qFormat/>
    <w:rsid w:val="0033355C"/>
    <w:rPr>
      <w:i/>
      <w:iCs/>
      <w:color w:val="0F4761" w:themeColor="accent1" w:themeShade="BF"/>
    </w:rPr>
  </w:style>
  <w:style w:type="paragraph" w:styleId="IntenseQuote">
    <w:name w:val="Intense Quote"/>
    <w:basedOn w:val="Normal"/>
    <w:next w:val="Normal"/>
    <w:link w:val="IntenseQuoteChar"/>
    <w:uiPriority w:val="30"/>
    <w:qFormat/>
    <w:rsid w:val="003335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355C"/>
    <w:rPr>
      <w:i/>
      <w:iCs/>
      <w:color w:val="0F4761" w:themeColor="accent1" w:themeShade="BF"/>
    </w:rPr>
  </w:style>
  <w:style w:type="character" w:styleId="IntenseReference">
    <w:name w:val="Intense Reference"/>
    <w:basedOn w:val="DefaultParagraphFont"/>
    <w:uiPriority w:val="32"/>
    <w:qFormat/>
    <w:rsid w:val="0033355C"/>
    <w:rPr>
      <w:b/>
      <w:bCs/>
      <w:smallCaps/>
      <w:color w:val="0F4761" w:themeColor="accent1" w:themeShade="BF"/>
      <w:spacing w:val="5"/>
    </w:rPr>
  </w:style>
  <w:style w:type="table" w:styleId="TableGrid">
    <w:name w:val="Table Grid"/>
    <w:basedOn w:val="TableNormal"/>
    <w:uiPriority w:val="39"/>
    <w:rsid w:val="00333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501D"/>
    <w:pPr>
      <w:spacing w:before="100" w:beforeAutospacing="1" w:after="100" w:afterAutospacing="1" w:line="240" w:lineRule="auto"/>
    </w:pPr>
    <w:rPr>
      <w:rFonts w:ascii="Times New Roman" w:eastAsia="Times New Roman" w:hAnsi="Times New Roman" w:cs="Times New Roman"/>
      <w:lang w:bidi="th-TH"/>
    </w:rPr>
  </w:style>
  <w:style w:type="character" w:styleId="Hyperlink">
    <w:name w:val="Hyperlink"/>
    <w:basedOn w:val="DefaultParagraphFont"/>
    <w:uiPriority w:val="99"/>
    <w:unhideWhenUsed/>
    <w:rsid w:val="00270F6A"/>
    <w:rPr>
      <w:color w:val="467886" w:themeColor="hyperlink"/>
      <w:u w:val="single"/>
    </w:rPr>
  </w:style>
  <w:style w:type="character" w:styleId="UnresolvedMention">
    <w:name w:val="Unresolved Mention"/>
    <w:basedOn w:val="DefaultParagraphFont"/>
    <w:uiPriority w:val="99"/>
    <w:semiHidden/>
    <w:unhideWhenUsed/>
    <w:rsid w:val="00270F6A"/>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F56B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
	<Relationship Id="rId8" Type="http://schemas.openxmlformats.org/officeDocument/2006/relationships/hyperlink" Target="http://?" TargetMode="External"/>
	<Relationship Id="rId3" Type="http://schemas.openxmlformats.org/officeDocument/2006/relationships/styles" Target="styles.xml"/>
	<Relationship Id="rId7" Type="http://schemas.openxmlformats.org/officeDocument/2006/relationships/hyperlink" Target="http://?" TargetMode="Externa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hyperlink" Target="http://?" TargetMode="External"/>
	<Relationship Id="rId5" Type="http://schemas.openxmlformats.org/officeDocument/2006/relationships/webSettings" Target="webSettings.xml"/>
	<Relationship Id="rId10"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ntTable" Target="fontTable.xm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HaDRvPbLx1wnyY/X+jIOW+URQ==">CgMxLjA4AHIhMW5HSXRodzk2cHZteDh4TFZwei1TVndKTjcwZkN1aWcw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2020</Words>
  <Characters>11516</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Natcha Techarchainiran</dc:creator>
  <cp:lastModifiedBy>Natcha Techarchainiran</cp:lastModifiedBy>
  <cp:revision>7</cp:revision>
  <dcterms:created xsi:type="dcterms:W3CDTF">2024-11-08T20:57:00Z</dcterms:created>
  <dcterms:modified xsi:type="dcterms:W3CDTF">2024-11-11T09:02:00Z</dcterms:modified>
</cp:coreProperties>
</file>